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BB83" w14:textId="77777777" w:rsidR="009913CF" w:rsidRDefault="009913CF" w:rsidP="007A397B">
      <w:pPr>
        <w:spacing w:after="0" w:line="240" w:lineRule="auto"/>
        <w:jc w:val="both"/>
      </w:pPr>
    </w:p>
    <w:p w14:paraId="4BD1EA9F" w14:textId="77777777" w:rsidR="001E7276" w:rsidRPr="009D7457" w:rsidRDefault="00307840" w:rsidP="009913CF">
      <w:pPr>
        <w:spacing w:after="0" w:line="240" w:lineRule="auto"/>
        <w:jc w:val="center"/>
        <w:rPr>
          <w:b/>
          <w:bCs/>
          <w:sz w:val="28"/>
          <w:szCs w:val="28"/>
        </w:rPr>
      </w:pPr>
      <w:r w:rsidRPr="009D7457">
        <w:rPr>
          <w:b/>
          <w:bCs/>
          <w:sz w:val="28"/>
          <w:szCs w:val="28"/>
        </w:rPr>
        <w:t>A Plea for Justice:</w:t>
      </w:r>
      <w:r w:rsidR="009913CF" w:rsidRPr="009D7457">
        <w:rPr>
          <w:b/>
          <w:bCs/>
          <w:sz w:val="28"/>
          <w:szCs w:val="28"/>
        </w:rPr>
        <w:t xml:space="preserve"> </w:t>
      </w:r>
    </w:p>
    <w:p w14:paraId="4B34F18B" w14:textId="7FC78740" w:rsidR="00756EB9" w:rsidRPr="009D7457" w:rsidRDefault="00756EB9" w:rsidP="009913CF">
      <w:pPr>
        <w:spacing w:after="0" w:line="240" w:lineRule="auto"/>
        <w:jc w:val="center"/>
        <w:rPr>
          <w:b/>
          <w:bCs/>
        </w:rPr>
      </w:pPr>
      <w:r w:rsidRPr="009D7457">
        <w:rPr>
          <w:b/>
          <w:bCs/>
        </w:rPr>
        <w:t xml:space="preserve">Making the Case for Increased Regulation of Vermont’s Plea Bargaining </w:t>
      </w:r>
      <w:r w:rsidR="009D7457" w:rsidRPr="009D7457">
        <w:rPr>
          <w:b/>
          <w:bCs/>
        </w:rPr>
        <w:t>Procedures</w:t>
      </w:r>
      <w:r w:rsidRPr="009D7457">
        <w:rPr>
          <w:b/>
          <w:bCs/>
        </w:rPr>
        <w:t xml:space="preserve"> </w:t>
      </w:r>
    </w:p>
    <w:p w14:paraId="0163F0DD" w14:textId="77777777" w:rsidR="001E7276" w:rsidRDefault="001E7276" w:rsidP="009913CF">
      <w:pPr>
        <w:spacing w:after="0" w:line="240" w:lineRule="auto"/>
        <w:jc w:val="center"/>
        <w:rPr>
          <w:b/>
          <w:bCs/>
          <w:i/>
          <w:iCs/>
        </w:rPr>
      </w:pPr>
    </w:p>
    <w:p w14:paraId="1BDD07DA" w14:textId="4F22B419" w:rsidR="00DF6852" w:rsidRPr="009913CF" w:rsidRDefault="00086A42" w:rsidP="009913CF">
      <w:pPr>
        <w:spacing w:after="0" w:line="240" w:lineRule="auto"/>
        <w:jc w:val="center"/>
        <w:rPr>
          <w:b/>
          <w:bCs/>
          <w:u w:val="single"/>
        </w:rPr>
      </w:pPr>
      <w:r>
        <w:rPr>
          <w:b/>
          <w:bCs/>
          <w:i/>
          <w:iCs/>
        </w:rPr>
        <w:t xml:space="preserve">A </w:t>
      </w:r>
      <w:r w:rsidR="00B820FB">
        <w:rPr>
          <w:b/>
          <w:bCs/>
          <w:i/>
          <w:iCs/>
        </w:rPr>
        <w:t xml:space="preserve">Proposal for the </w:t>
      </w:r>
      <w:r w:rsidR="001A52FE">
        <w:rPr>
          <w:b/>
          <w:bCs/>
          <w:i/>
          <w:iCs/>
        </w:rPr>
        <w:t>Vermont Supreme Court</w:t>
      </w:r>
    </w:p>
    <w:p w14:paraId="006CEEA5" w14:textId="356E755E" w:rsidR="0073701C" w:rsidRDefault="001A52FE" w:rsidP="001E7213">
      <w:pPr>
        <w:spacing w:after="0"/>
        <w:jc w:val="center"/>
        <w:rPr>
          <w:b/>
          <w:bCs/>
          <w:i/>
          <w:iCs/>
        </w:rPr>
      </w:pPr>
      <w:r>
        <w:rPr>
          <w:b/>
          <w:bCs/>
          <w:i/>
          <w:iCs/>
        </w:rPr>
        <w:t>Advisory Committee</w:t>
      </w:r>
      <w:r w:rsidR="0056020D">
        <w:rPr>
          <w:b/>
          <w:bCs/>
          <w:i/>
          <w:iCs/>
        </w:rPr>
        <w:t xml:space="preserve"> on Rules of Criminal Procedure</w:t>
      </w:r>
    </w:p>
    <w:p w14:paraId="3DD593FD" w14:textId="77777777" w:rsidR="001E7213" w:rsidRPr="00320212" w:rsidRDefault="001E7213" w:rsidP="001E7213">
      <w:pPr>
        <w:spacing w:after="0"/>
        <w:jc w:val="center"/>
        <w:rPr>
          <w:b/>
          <w:bCs/>
        </w:rPr>
      </w:pPr>
    </w:p>
    <w:p w14:paraId="37D43A3E" w14:textId="592FAB0A" w:rsidR="0073701C" w:rsidRDefault="00576945" w:rsidP="00C5284A">
      <w:pPr>
        <w:spacing w:after="0" w:line="480" w:lineRule="auto"/>
        <w:ind w:firstLine="720"/>
        <w:jc w:val="both"/>
      </w:pPr>
      <w:r>
        <w:t xml:space="preserve">The American criminal legal system incarcerates more individuals than any other country </w:t>
      </w:r>
      <w:r w:rsidR="00C817F7">
        <w:t xml:space="preserve">in the world. </w:t>
      </w:r>
      <w:r w:rsidR="00F83D4D">
        <w:t>N</w:t>
      </w:r>
      <w:r w:rsidR="00D55E2B">
        <w:t xml:space="preserve">early 98% of criminal </w:t>
      </w:r>
      <w:r w:rsidR="00F83D4D">
        <w:t>convictions are the result of guilty plea</w:t>
      </w:r>
      <w:r w:rsidR="00164442">
        <w:t>s</w:t>
      </w:r>
      <w:r w:rsidR="00DE2B6B">
        <w:t xml:space="preserve">, </w:t>
      </w:r>
      <w:r w:rsidR="0042448C">
        <w:t>usually</w:t>
      </w:r>
      <w:r w:rsidR="00DE2B6B">
        <w:t xml:space="preserve"> agreed to </w:t>
      </w:r>
      <w:r w:rsidR="008E36C8">
        <w:t xml:space="preserve">during plea bargain negotiations between a prosecutor and a </w:t>
      </w:r>
      <w:r w:rsidR="00841E6B">
        <w:t xml:space="preserve">criminal </w:t>
      </w:r>
      <w:r w:rsidR="008E36C8">
        <w:t>defendant</w:t>
      </w:r>
      <w:r w:rsidR="00001385">
        <w:t xml:space="preserve"> (and</w:t>
      </w:r>
      <w:r w:rsidR="007C6863">
        <w:t xml:space="preserve"> d</w:t>
      </w:r>
      <w:r w:rsidR="00001385">
        <w:t>efendant’s legal counsel</w:t>
      </w:r>
      <w:r w:rsidR="007C6863">
        <w:t>, if any)</w:t>
      </w:r>
      <w:r w:rsidR="008E36C8">
        <w:t xml:space="preserve">. </w:t>
      </w:r>
      <w:r w:rsidR="00E36847">
        <w:t xml:space="preserve">While our criminal legal system is built upon an ideal of </w:t>
      </w:r>
      <w:r w:rsidR="00C81B88">
        <w:t>jury trials and meaningful fact-finding, the reality</w:t>
      </w:r>
      <w:r w:rsidR="00E411E7">
        <w:t>, as recognized by the Supreme Court, is that “the negotiation of a plea bargain, rather than the unfolding of a trial, is almost always the critical point for a defendant.”</w:t>
      </w:r>
      <w:r w:rsidR="00E411E7">
        <w:rPr>
          <w:rStyle w:val="EndnoteReference"/>
        </w:rPr>
        <w:endnoteReference w:id="1"/>
      </w:r>
      <w:r w:rsidR="000A304B">
        <w:t xml:space="preserve"> In practice, plea</w:t>
      </w:r>
      <w:r w:rsidR="002A6EE4">
        <w:t xml:space="preserve"> bargaining serves as the backbone to our criminal legal system</w:t>
      </w:r>
      <w:r w:rsidR="002504C6">
        <w:t xml:space="preserve">, </w:t>
      </w:r>
      <w:r w:rsidR="002A6EE4">
        <w:t xml:space="preserve">yet it remains virtually </w:t>
      </w:r>
      <w:r w:rsidR="00B63C25">
        <w:t xml:space="preserve">unregulated. </w:t>
      </w:r>
      <w:r w:rsidR="002504C6">
        <w:t>Our system</w:t>
      </w:r>
      <w:r w:rsidR="00AB1441">
        <w:t xml:space="preserve">’s overcriminalization, particularly over the past </w:t>
      </w:r>
      <w:r w:rsidR="001317FA">
        <w:t>four</w:t>
      </w:r>
      <w:r w:rsidR="00AB1441">
        <w:t xml:space="preserve"> decades, </w:t>
      </w:r>
      <w:r w:rsidR="001317FA">
        <w:t xml:space="preserve">has created a reliance on guilty pleas in lieu </w:t>
      </w:r>
      <w:r w:rsidR="001C4513">
        <w:t xml:space="preserve">of criminal trials, as our system simply </w:t>
      </w:r>
      <w:r w:rsidR="008F78E7">
        <w:t>could not</w:t>
      </w:r>
      <w:r w:rsidR="001C4513">
        <w:t xml:space="preserve"> function</w:t>
      </w:r>
      <w:r w:rsidR="006E24BF">
        <w:t xml:space="preserve"> </w:t>
      </w:r>
      <w:r w:rsidR="00BD2787">
        <w:t>as it stands</w:t>
      </w:r>
      <w:r w:rsidR="001C4513">
        <w:t xml:space="preserve"> if every case went to trial.</w:t>
      </w:r>
      <w:r w:rsidR="001C68E3">
        <w:rPr>
          <w:rStyle w:val="EndnoteReference"/>
        </w:rPr>
        <w:endnoteReference w:id="2"/>
      </w:r>
      <w:r w:rsidR="008F78E7">
        <w:t xml:space="preserve"> </w:t>
      </w:r>
      <w:r w:rsidR="00B64F0C">
        <w:t>As a result, guilty pleas are entered with regularity in our criminal legal system, not only</w:t>
      </w:r>
      <w:r w:rsidR="00197E47">
        <w:t xml:space="preserve"> by guilty defendants, but all too often by innocent defendants as well. </w:t>
      </w:r>
    </w:p>
    <w:p w14:paraId="4601D5E6" w14:textId="6E923B1B" w:rsidR="00687263" w:rsidRDefault="00687263" w:rsidP="00C5284A">
      <w:pPr>
        <w:spacing w:after="0" w:line="480" w:lineRule="auto"/>
        <w:ind w:firstLine="720"/>
        <w:jc w:val="both"/>
      </w:pPr>
      <w:r>
        <w:t xml:space="preserve">Part I of this </w:t>
      </w:r>
      <w:r w:rsidR="00C9280B">
        <w:t>proposal</w:t>
      </w:r>
      <w:r>
        <w:t xml:space="preserve"> will briefly </w:t>
      </w:r>
      <w:r w:rsidR="00C844F0">
        <w:t>recount</w:t>
      </w:r>
      <w:r>
        <w:t xml:space="preserve"> the history of plea bargaining and the factors that </w:t>
      </w:r>
      <w:r w:rsidR="00CE7875">
        <w:t xml:space="preserve">brought us from a system of trials to a system of pleas. </w:t>
      </w:r>
      <w:r w:rsidR="00D14E0E">
        <w:t xml:space="preserve">Part II </w:t>
      </w:r>
      <w:r w:rsidR="00E0679D">
        <w:t xml:space="preserve">will </w:t>
      </w:r>
      <w:r w:rsidR="00421421">
        <w:t>describe</w:t>
      </w:r>
      <w:r w:rsidR="00E0679D">
        <w:t xml:space="preserve"> the </w:t>
      </w:r>
      <w:r w:rsidR="00047149">
        <w:t xml:space="preserve">unchecked discretion </w:t>
      </w:r>
      <w:r w:rsidR="007C0245">
        <w:t>of prosecutors and how</w:t>
      </w:r>
      <w:r w:rsidR="00682773">
        <w:t xml:space="preserve"> that discretion can be used to take advantage of </w:t>
      </w:r>
      <w:r w:rsidR="00590741">
        <w:t xml:space="preserve">criminal </w:t>
      </w:r>
      <w:r w:rsidR="00682773">
        <w:t xml:space="preserve">defendants. Part III will </w:t>
      </w:r>
      <w:r w:rsidR="00421421">
        <w:t xml:space="preserve">look at the effects of the power imbalances inherent in the American plea bargaining structure. Part IV will </w:t>
      </w:r>
      <w:r w:rsidR="00ED7B67">
        <w:t xml:space="preserve">address the ways </w:t>
      </w:r>
      <w:r w:rsidR="00D4338C">
        <w:t>by</w:t>
      </w:r>
      <w:r w:rsidR="00ED7B67">
        <w:t xml:space="preserve"> which Vermont is already </w:t>
      </w:r>
      <w:r w:rsidR="006477F6">
        <w:t xml:space="preserve">addressing the structural inequalities of our criminal legal system. </w:t>
      </w:r>
      <w:r w:rsidR="009C199E">
        <w:t>Finally, Part V will propose amendments to the Vermont Rules of Criminal Procedure</w:t>
      </w:r>
      <w:r w:rsidR="00E520FC">
        <w:t xml:space="preserve"> focused on </w:t>
      </w:r>
      <w:r w:rsidR="009B2B63">
        <w:t xml:space="preserve">leveling the playing field </w:t>
      </w:r>
      <w:r w:rsidR="009E3DDB">
        <w:t xml:space="preserve">by providing supervisory checks on prosecutors and </w:t>
      </w:r>
      <w:r w:rsidR="00AB7A8A">
        <w:t>limiting</w:t>
      </w:r>
      <w:r w:rsidR="009E3DDB">
        <w:t xml:space="preserve"> their </w:t>
      </w:r>
      <w:r w:rsidR="00AB7A8A">
        <w:t>bargaining power</w:t>
      </w:r>
      <w:r w:rsidR="009E3DDB">
        <w:t xml:space="preserve">. </w:t>
      </w:r>
    </w:p>
    <w:p w14:paraId="6B719609" w14:textId="22BB99EB" w:rsidR="001A1CC4" w:rsidRDefault="001A1CC4" w:rsidP="004A187E">
      <w:pPr>
        <w:pStyle w:val="ListParagraph"/>
        <w:numPr>
          <w:ilvl w:val="0"/>
          <w:numId w:val="4"/>
        </w:numPr>
        <w:spacing w:after="0" w:line="480" w:lineRule="auto"/>
        <w:ind w:left="0" w:firstLine="0"/>
        <w:jc w:val="center"/>
      </w:pPr>
      <w:r w:rsidRPr="00D14E0E">
        <w:rPr>
          <w:b/>
          <w:bCs/>
          <w:u w:val="single"/>
        </w:rPr>
        <w:lastRenderedPageBreak/>
        <w:t>A Brief History of Plea Bargaining in America</w:t>
      </w:r>
    </w:p>
    <w:p w14:paraId="6AE0FE13" w14:textId="244CA5FD" w:rsidR="003C3813" w:rsidRDefault="003C3813" w:rsidP="00C5284A">
      <w:pPr>
        <w:spacing w:after="0" w:line="480" w:lineRule="auto"/>
        <w:jc w:val="both"/>
      </w:pPr>
      <w:r>
        <w:tab/>
      </w:r>
      <w:r w:rsidR="0023455A">
        <w:t xml:space="preserve">The right to a jury trial is one of the cornerstones of our American criminal legal system. </w:t>
      </w:r>
      <w:r w:rsidR="00417151">
        <w:t xml:space="preserve">Even before the American Revolution, </w:t>
      </w:r>
      <w:r w:rsidR="00F14AF6">
        <w:t>juries</w:t>
      </w:r>
      <w:r w:rsidR="00FF29E7">
        <w:t xml:space="preserve"> served</w:t>
      </w:r>
      <w:r w:rsidR="001652C5">
        <w:t xml:space="preserve"> as</w:t>
      </w:r>
      <w:r w:rsidR="00F4798D">
        <w:t xml:space="preserve"> a mechanism for truth seeking, as well as</w:t>
      </w:r>
      <w:r w:rsidR="001652C5">
        <w:t xml:space="preserve"> an essential safeguard of liberty</w:t>
      </w:r>
      <w:r w:rsidR="00417151">
        <w:t xml:space="preserve"> </w:t>
      </w:r>
      <w:r w:rsidR="00AE2DCC">
        <w:t xml:space="preserve">and </w:t>
      </w:r>
      <w:r w:rsidR="00DB0755">
        <w:t xml:space="preserve">a moral check on </w:t>
      </w:r>
      <w:r w:rsidR="00E754CD">
        <w:t>authoritarian</w:t>
      </w:r>
      <w:r w:rsidR="00DB0755">
        <w:t xml:space="preserve"> government</w:t>
      </w:r>
      <w:r w:rsidR="00456F3D">
        <w:t>s</w:t>
      </w:r>
      <w:r w:rsidR="00DB0755">
        <w:t xml:space="preserve">. </w:t>
      </w:r>
      <w:r w:rsidR="00914ECC">
        <w:t xml:space="preserve">For example, </w:t>
      </w:r>
      <w:r w:rsidR="001F1B26">
        <w:t>a jury</w:t>
      </w:r>
      <w:r w:rsidR="00914ECC">
        <w:t xml:space="preserve"> in 1735</w:t>
      </w:r>
      <w:r w:rsidR="001F1B26">
        <w:t xml:space="preserve"> </w:t>
      </w:r>
      <w:r w:rsidR="004A7CFD">
        <w:t xml:space="preserve">refused to accept the </w:t>
      </w:r>
      <w:r w:rsidR="00BC3F28">
        <w:t>New York trial judge’s instruction that “the truth was no defense</w:t>
      </w:r>
      <w:r w:rsidR="00102E67">
        <w:t xml:space="preserve"> to the charge of seditious libel” and acquitted</w:t>
      </w:r>
      <w:r w:rsidR="00B0254E">
        <w:t xml:space="preserve"> </w:t>
      </w:r>
      <w:r w:rsidR="00102E67" w:rsidRPr="00102E67">
        <w:t>John Peter Zenger</w:t>
      </w:r>
      <w:r w:rsidR="00102E67">
        <w:t xml:space="preserve"> of the charge</w:t>
      </w:r>
      <w:r w:rsidR="00824102">
        <w:t>, paving the way for freedom of the press in America</w:t>
      </w:r>
      <w:r w:rsidR="001213F0">
        <w:t>.</w:t>
      </w:r>
      <w:r w:rsidR="001006E3">
        <w:rPr>
          <w:rStyle w:val="EndnoteReference"/>
        </w:rPr>
        <w:endnoteReference w:id="3"/>
      </w:r>
      <w:r w:rsidR="00EF6273">
        <w:t xml:space="preserve"> </w:t>
      </w:r>
      <w:r w:rsidR="003B125C">
        <w:t>The jury</w:t>
      </w:r>
      <w:r w:rsidR="009B6FCA">
        <w:t xml:space="preserve"> </w:t>
      </w:r>
      <w:r w:rsidR="006E60D8">
        <w:t>believed</w:t>
      </w:r>
      <w:r w:rsidR="003B125C">
        <w:t xml:space="preserve"> that </w:t>
      </w:r>
      <w:r w:rsidR="002C503C">
        <w:t xml:space="preserve">Zenger’s </w:t>
      </w:r>
      <w:r w:rsidR="006E60D8">
        <w:t xml:space="preserve">truthful </w:t>
      </w:r>
      <w:r w:rsidR="003B125C">
        <w:t xml:space="preserve">criticism </w:t>
      </w:r>
      <w:r w:rsidR="002C503C">
        <w:t>of the New York governor</w:t>
      </w:r>
      <w:r w:rsidR="006E60D8">
        <w:t xml:space="preserve"> should not subject him to </w:t>
      </w:r>
      <w:r w:rsidR="00A7424A">
        <w:t>criminal prosecution</w:t>
      </w:r>
      <w:r w:rsidR="006E1F08">
        <w:t>, regardless of the judge’s interpretation of the law</w:t>
      </w:r>
      <w:r w:rsidR="002331FB">
        <w:t xml:space="preserve">, and </w:t>
      </w:r>
      <w:r w:rsidR="006515D3">
        <w:t>used its collective power to refuse to uphold an unjust law</w:t>
      </w:r>
      <w:r w:rsidR="004B4B1F">
        <w:t xml:space="preserve"> by way of acquittal.</w:t>
      </w:r>
      <w:r w:rsidR="004B4B1F">
        <w:rPr>
          <w:rStyle w:val="EndnoteReference"/>
        </w:rPr>
        <w:endnoteReference w:id="4"/>
      </w:r>
      <w:r w:rsidR="00B94ABD">
        <w:t xml:space="preserve"> </w:t>
      </w:r>
    </w:p>
    <w:p w14:paraId="34255AC1" w14:textId="3EC3E98C" w:rsidR="005F2656" w:rsidRDefault="00B94ABD" w:rsidP="00C5284A">
      <w:pPr>
        <w:spacing w:after="0" w:line="480" w:lineRule="auto"/>
        <w:jc w:val="both"/>
      </w:pPr>
      <w:r>
        <w:tab/>
        <w:t xml:space="preserve">During the nation’s founding era, the jury </w:t>
      </w:r>
      <w:r w:rsidR="00BA384B">
        <w:t xml:space="preserve">continued to wield its discretion to reject </w:t>
      </w:r>
      <w:r w:rsidR="00270FA5">
        <w:t xml:space="preserve">laws seen to be unfair or prejudicial, checking the government and </w:t>
      </w:r>
      <w:r w:rsidR="0013110F">
        <w:t>foreshadowing the notion</w:t>
      </w:r>
      <w:r w:rsidR="00DF7E05">
        <w:t xml:space="preserve"> that America </w:t>
      </w:r>
      <w:r w:rsidR="0013110F">
        <w:t>is</w:t>
      </w:r>
      <w:r w:rsidR="00DF7E05">
        <w:t xml:space="preserve"> a nation of the people</w:t>
      </w:r>
      <w:r w:rsidR="007C5278">
        <w:t xml:space="preserve">, by the people, </w:t>
      </w:r>
      <w:r w:rsidR="00D135C2">
        <w:t xml:space="preserve">and </w:t>
      </w:r>
      <w:r w:rsidR="007C5278">
        <w:t>for the people.</w:t>
      </w:r>
      <w:r w:rsidR="00D135C2">
        <w:rPr>
          <w:rStyle w:val="EndnoteReference"/>
        </w:rPr>
        <w:endnoteReference w:id="5"/>
      </w:r>
      <w:r w:rsidR="007C5278">
        <w:t xml:space="preserve"> </w:t>
      </w:r>
      <w:r w:rsidR="00883845">
        <w:t>Thomas Jefferson recognized the important role of the American jury system when he said, “</w:t>
      </w:r>
      <w:r w:rsidR="00883845" w:rsidRPr="00883845">
        <w:t>I consider trial by jury as the only anchor ever yet imagined by man, by which a government can be held to the principles of its constitution.”</w:t>
      </w:r>
      <w:r w:rsidR="00277612">
        <w:rPr>
          <w:rStyle w:val="EndnoteReference"/>
        </w:rPr>
        <w:endnoteReference w:id="6"/>
      </w:r>
      <w:r w:rsidR="00883845" w:rsidRPr="00883845">
        <w:t xml:space="preserve"> John Adams </w:t>
      </w:r>
      <w:r w:rsidR="00E36F3B">
        <w:t>agreed, acknowledging</w:t>
      </w:r>
      <w:r w:rsidR="00883845" w:rsidRPr="00883845">
        <w:t>, “</w:t>
      </w:r>
      <w:r w:rsidR="00E36F3B">
        <w:t>[i]</w:t>
      </w:r>
      <w:r w:rsidR="00883845" w:rsidRPr="00883845">
        <w:t>t is not only [the juror’s] right, but his duty</w:t>
      </w:r>
      <w:r w:rsidR="00C5284A">
        <w:t> . . . </w:t>
      </w:r>
      <w:r w:rsidR="00883845" w:rsidRPr="00883845">
        <w:t>to find the verdict according to his own best understanding, judgment, and conscience, though in direct opposition to the direction of the court.”</w:t>
      </w:r>
      <w:r w:rsidR="00E36F3B">
        <w:rPr>
          <w:rStyle w:val="EndnoteReference"/>
        </w:rPr>
        <w:endnoteReference w:id="7"/>
      </w:r>
    </w:p>
    <w:p w14:paraId="0C44021B" w14:textId="77777777" w:rsidR="00BC2940" w:rsidRDefault="005F2656" w:rsidP="00C5284A">
      <w:pPr>
        <w:spacing w:after="0" w:line="480" w:lineRule="auto"/>
        <w:jc w:val="both"/>
      </w:pPr>
      <w:r>
        <w:tab/>
      </w:r>
      <w:r w:rsidR="008222B5">
        <w:t>With</w:t>
      </w:r>
      <w:r w:rsidR="00647FB4">
        <w:t xml:space="preserve"> the passage of the Sixth Amendment in </w:t>
      </w:r>
      <w:r w:rsidR="005C444E">
        <w:t xml:space="preserve">1791, the founders </w:t>
      </w:r>
      <w:r w:rsidR="00EF5EB3">
        <w:t xml:space="preserve">formally recognized the </w:t>
      </w:r>
      <w:r w:rsidR="008366DB">
        <w:t xml:space="preserve">critical role of the jury </w:t>
      </w:r>
      <w:r w:rsidR="008222B5">
        <w:t>within</w:t>
      </w:r>
      <w:r w:rsidR="008366DB">
        <w:t xml:space="preserve"> the American legal system</w:t>
      </w:r>
      <w:r w:rsidR="00B2506E">
        <w:t xml:space="preserve"> by </w:t>
      </w:r>
      <w:r w:rsidR="002522E3">
        <w:t>protecting the right of a criminal defendant to an impartial jury</w:t>
      </w:r>
      <w:r w:rsidR="004E2058">
        <w:t>.</w:t>
      </w:r>
      <w:r w:rsidR="00C310AF">
        <w:rPr>
          <w:rStyle w:val="EndnoteReference"/>
        </w:rPr>
        <w:endnoteReference w:id="8"/>
      </w:r>
      <w:r w:rsidR="00A238F6">
        <w:t xml:space="preserve"> </w:t>
      </w:r>
      <w:r w:rsidR="003F3469">
        <w:t xml:space="preserve">The jury remained a central component of the American legal system </w:t>
      </w:r>
      <w:r w:rsidR="00E8038A">
        <w:t>for the next century</w:t>
      </w:r>
      <w:r w:rsidR="00E13C2E">
        <w:t xml:space="preserve">, as defendants regularly exercised their </w:t>
      </w:r>
      <w:r w:rsidR="00730D7D">
        <w:t xml:space="preserve">Sixth Amendment right to a public trial. </w:t>
      </w:r>
    </w:p>
    <w:p w14:paraId="345E6404" w14:textId="5EB0B0B1" w:rsidR="00671AD3" w:rsidRDefault="00730D7D" w:rsidP="00C5284A">
      <w:pPr>
        <w:spacing w:after="0" w:line="480" w:lineRule="auto"/>
        <w:ind w:firstLine="720"/>
        <w:jc w:val="both"/>
      </w:pPr>
      <w:r>
        <w:lastRenderedPageBreak/>
        <w:t xml:space="preserve">Plea bargains, </w:t>
      </w:r>
      <w:r w:rsidR="00F9232F">
        <w:t xml:space="preserve">on the other hand, </w:t>
      </w:r>
      <w:r w:rsidR="00522C39">
        <w:t xml:space="preserve">were </w:t>
      </w:r>
      <w:r w:rsidR="00054DE4">
        <w:t>“</w:t>
      </w:r>
      <w:r w:rsidR="00522C39">
        <w:t>exceedingly rare”</w:t>
      </w:r>
      <w:r w:rsidR="00185C7A">
        <w:t xml:space="preserve"> until the end of the Civil War</w:t>
      </w:r>
      <w:r w:rsidR="00677E2B">
        <w:t>,</w:t>
      </w:r>
      <w:r w:rsidR="00ED5856">
        <w:t xml:space="preserve"> when crime</w:t>
      </w:r>
      <w:r w:rsidR="00941ED5">
        <w:t xml:space="preserve"> </w:t>
      </w:r>
      <w:r w:rsidR="00677E2B">
        <w:t>rose</w:t>
      </w:r>
      <w:r w:rsidR="00941ED5">
        <w:t xml:space="preserve"> as a result of increased immigration and widespread dislocation</w:t>
      </w:r>
      <w:r w:rsidR="00185C7A">
        <w:t>.</w:t>
      </w:r>
      <w:r w:rsidR="0044318B">
        <w:rPr>
          <w:rStyle w:val="EndnoteReference"/>
        </w:rPr>
        <w:endnoteReference w:id="9"/>
      </w:r>
      <w:r w:rsidR="00941ED5">
        <w:t xml:space="preserve"> </w:t>
      </w:r>
      <w:r w:rsidR="00BC2940">
        <w:t xml:space="preserve">In order to keep the </w:t>
      </w:r>
      <w:r w:rsidR="00677E2B">
        <w:t>escalating</w:t>
      </w:r>
      <w:r w:rsidR="00814609">
        <w:t xml:space="preserve"> number </w:t>
      </w:r>
      <w:r w:rsidR="00BC2940">
        <w:t>of criminal cases</w:t>
      </w:r>
      <w:r w:rsidR="002F7F12">
        <w:t xml:space="preserve"> from </w:t>
      </w:r>
      <w:r w:rsidR="000A3A2D">
        <w:t xml:space="preserve">crashing the court systems, </w:t>
      </w:r>
      <w:r w:rsidR="00771B5C">
        <w:t>which</w:t>
      </w:r>
      <w:r w:rsidR="000A3A2D">
        <w:t xml:space="preserve"> were unable to provide speedy criminal trials to every defendant</w:t>
      </w:r>
      <w:r w:rsidR="006F702D">
        <w:t xml:space="preserve">, prosecutors </w:t>
      </w:r>
      <w:r w:rsidR="00084F99">
        <w:t>began making what other countries considered “a kind of ‘devil’s pact’ ”</w:t>
      </w:r>
      <w:r w:rsidR="001D3967">
        <w:t xml:space="preserve"> with criminal defendants</w:t>
      </w:r>
      <w:r w:rsidR="00141C27">
        <w:t>.</w:t>
      </w:r>
      <w:r w:rsidR="009850CB">
        <w:rPr>
          <w:rStyle w:val="EndnoteReference"/>
        </w:rPr>
        <w:endnoteReference w:id="10"/>
      </w:r>
      <w:r w:rsidR="00D64A85">
        <w:t xml:space="preserve"> </w:t>
      </w:r>
      <w:r w:rsidR="00F47DAF">
        <w:t>Prosecutors</w:t>
      </w:r>
      <w:r w:rsidR="00141C27">
        <w:t xml:space="preserve"> agreed to dismiss more serious charges</w:t>
      </w:r>
      <w:r w:rsidR="0054345A">
        <w:t xml:space="preserve"> for defendants willing to plead guilty to lesser charges</w:t>
      </w:r>
      <w:r w:rsidR="00F47DAF">
        <w:t xml:space="preserve">, resulting in less prison time for </w:t>
      </w:r>
      <w:r w:rsidR="00BE0210">
        <w:t xml:space="preserve">those </w:t>
      </w:r>
      <w:r w:rsidR="00F47DAF">
        <w:t xml:space="preserve">defendants and </w:t>
      </w:r>
      <w:r w:rsidR="00861AC9">
        <w:t>expeditious</w:t>
      </w:r>
      <w:r w:rsidR="009468A9">
        <w:t xml:space="preserve"> </w:t>
      </w:r>
      <w:r w:rsidR="00F47DAF">
        <w:t xml:space="preserve">resolution of </w:t>
      </w:r>
      <w:r w:rsidR="00861AC9">
        <w:t xml:space="preserve">criminal </w:t>
      </w:r>
      <w:r w:rsidR="00F47DAF">
        <w:t xml:space="preserve">cases without the burden of </w:t>
      </w:r>
      <w:r w:rsidR="009468A9">
        <w:t>numerous trials.</w:t>
      </w:r>
      <w:r w:rsidR="005E1BDA">
        <w:rPr>
          <w:rStyle w:val="EndnoteReference"/>
        </w:rPr>
        <w:endnoteReference w:id="11"/>
      </w:r>
      <w:r w:rsidR="005E1BDA">
        <w:t xml:space="preserve"> </w:t>
      </w:r>
    </w:p>
    <w:p w14:paraId="39CCD655" w14:textId="4FBEAEF6" w:rsidR="00EE5DD6" w:rsidRDefault="00A54140" w:rsidP="00C5284A">
      <w:pPr>
        <w:tabs>
          <w:tab w:val="left" w:pos="7290"/>
        </w:tabs>
        <w:spacing w:after="0" w:line="480" w:lineRule="auto"/>
        <w:ind w:firstLine="720"/>
        <w:jc w:val="both"/>
      </w:pPr>
      <w:r>
        <w:t>Given the</w:t>
      </w:r>
      <w:r w:rsidR="00C6346B">
        <w:t xml:space="preserve"> historic respect for jury trials as vessels of justice and fairness, </w:t>
      </w:r>
      <w:r w:rsidR="00AD7B7A">
        <w:t>members of the legal profession were initially wary of this new practice.</w:t>
      </w:r>
      <w:r w:rsidR="00245468">
        <w:t xml:space="preserve"> </w:t>
      </w:r>
      <w:r w:rsidR="00980E55">
        <w:t>I</w:t>
      </w:r>
      <w:r w:rsidR="00EE5F8E">
        <w:t xml:space="preserve">f defendants were </w:t>
      </w:r>
      <w:r w:rsidR="003106C4">
        <w:t xml:space="preserve">pleading guilty to offenses a jury would consider immoral or </w:t>
      </w:r>
      <w:r w:rsidR="00AC2097">
        <w:t>unnecessari</w:t>
      </w:r>
      <w:r w:rsidR="00C17CAB">
        <w:t>l</w:t>
      </w:r>
      <w:r w:rsidR="00AC2097">
        <w:t xml:space="preserve">y harsh, then </w:t>
      </w:r>
      <w:r w:rsidR="00D25157">
        <w:t>its</w:t>
      </w:r>
      <w:r w:rsidR="00AC2097">
        <w:t xml:space="preserve"> role </w:t>
      </w:r>
      <w:r w:rsidR="009D7900">
        <w:t>protecting against</w:t>
      </w:r>
      <w:r w:rsidR="00980E55">
        <w:t xml:space="preserve"> government oppression would be severely undermined.</w:t>
      </w:r>
      <w:r w:rsidR="00C17CAB">
        <w:t xml:space="preserve"> Moreover, </w:t>
      </w:r>
      <w:r w:rsidR="00130B95">
        <w:t xml:space="preserve">courts saw plea bargaining as </w:t>
      </w:r>
      <w:r w:rsidR="00390B57">
        <w:t xml:space="preserve">creating </w:t>
      </w:r>
      <w:r w:rsidR="00130B95">
        <w:t xml:space="preserve">unethical </w:t>
      </w:r>
      <w:r w:rsidR="005E0412">
        <w:t>incentiv</w:t>
      </w:r>
      <w:r w:rsidR="00390B57">
        <w:t>es</w:t>
      </w:r>
      <w:r w:rsidR="005E0412">
        <w:t xml:space="preserve"> for pleading guilty </w:t>
      </w:r>
      <w:r w:rsidR="00900607">
        <w:t>regardless of the facts of the case.</w:t>
      </w:r>
      <w:r w:rsidR="00183569">
        <w:rPr>
          <w:rStyle w:val="EndnoteReference"/>
        </w:rPr>
        <w:endnoteReference w:id="12"/>
      </w:r>
      <w:r w:rsidR="006F7424">
        <w:t xml:space="preserve"> </w:t>
      </w:r>
      <w:r w:rsidR="005709F4">
        <w:t>As a result, c</w:t>
      </w:r>
      <w:r w:rsidR="006F7424">
        <w:t xml:space="preserve">ourts </w:t>
      </w:r>
      <w:r w:rsidR="00791095">
        <w:t xml:space="preserve">in the post-Civil War era </w:t>
      </w:r>
      <w:r w:rsidR="002451A4">
        <w:t>frequently</w:t>
      </w:r>
      <w:r w:rsidR="0044658E">
        <w:t xml:space="preserve"> </w:t>
      </w:r>
      <w:r w:rsidR="006F7424">
        <w:t>invalidated plea agreements</w:t>
      </w:r>
      <w:r w:rsidR="00AD39C6">
        <w:t xml:space="preserve"> and would </w:t>
      </w:r>
      <w:r w:rsidR="002801F6">
        <w:t>have</w:t>
      </w:r>
      <w:r w:rsidR="00AD39C6">
        <w:t xml:space="preserve"> defendants </w:t>
      </w:r>
      <w:r w:rsidR="009C0E91">
        <w:t>stand</w:t>
      </w:r>
      <w:r w:rsidR="00AD39C6">
        <w:t xml:space="preserve"> trial instead</w:t>
      </w:r>
      <w:r w:rsidR="00C17CAB">
        <w:t>.</w:t>
      </w:r>
      <w:r w:rsidR="003905D1">
        <w:rPr>
          <w:rStyle w:val="EndnoteReference"/>
        </w:rPr>
        <w:endnoteReference w:id="13"/>
      </w:r>
    </w:p>
    <w:p w14:paraId="2947431F" w14:textId="0B4B1EC2" w:rsidR="006418F5" w:rsidRDefault="00980E55" w:rsidP="00C5284A">
      <w:pPr>
        <w:spacing w:after="0" w:line="480" w:lineRule="auto"/>
        <w:ind w:firstLine="720"/>
        <w:jc w:val="both"/>
      </w:pPr>
      <w:r>
        <w:t xml:space="preserve"> </w:t>
      </w:r>
      <w:r w:rsidR="00F77A79" w:rsidRPr="00AA4608">
        <w:t xml:space="preserve">Eventually, </w:t>
      </w:r>
      <w:r w:rsidR="00FF49A7" w:rsidRPr="00AA4608">
        <w:t xml:space="preserve">however, </w:t>
      </w:r>
      <w:r w:rsidR="001E346E" w:rsidRPr="00AA4608">
        <w:t xml:space="preserve">courts </w:t>
      </w:r>
      <w:r w:rsidR="00F51F4B" w:rsidRPr="00AA4608">
        <w:t>conceded to</w:t>
      </w:r>
      <w:r w:rsidR="00F77A79" w:rsidRPr="00AA4608">
        <w:t xml:space="preserve"> the </w:t>
      </w:r>
      <w:r w:rsidR="00825185" w:rsidRPr="00AA4608">
        <w:t>reduction</w:t>
      </w:r>
      <w:r w:rsidR="00F77A79" w:rsidRPr="00AA4608">
        <w:t xml:space="preserve"> of the </w:t>
      </w:r>
      <w:r w:rsidR="00FF49A7" w:rsidRPr="00AA4608">
        <w:t>role of juries and</w:t>
      </w:r>
      <w:r w:rsidR="00632EEE" w:rsidRPr="00AA4608">
        <w:t xml:space="preserve"> </w:t>
      </w:r>
      <w:r w:rsidR="00FF49A7" w:rsidRPr="00AA4608">
        <w:t>jud</w:t>
      </w:r>
      <w:r w:rsidR="00632EEE" w:rsidRPr="00AA4608">
        <w:t>icial involvement</w:t>
      </w:r>
      <w:r w:rsidR="00FF49A7" w:rsidRPr="00AA4608">
        <w:t xml:space="preserve"> in </w:t>
      </w:r>
      <w:r w:rsidR="008B4D76" w:rsidRPr="00AA4608">
        <w:t xml:space="preserve">the interest </w:t>
      </w:r>
      <w:r w:rsidR="00536886">
        <w:t xml:space="preserve">of </w:t>
      </w:r>
      <w:r w:rsidR="008B4D76" w:rsidRPr="00AA4608">
        <w:t>efficiency</w:t>
      </w:r>
      <w:r w:rsidR="004445E2" w:rsidRPr="00AA4608">
        <w:t xml:space="preserve">, as criminal prosecutions </w:t>
      </w:r>
      <w:r w:rsidR="00536886">
        <w:t xml:space="preserve">had </w:t>
      </w:r>
      <w:r w:rsidR="004445E2" w:rsidRPr="00AA4608">
        <w:t xml:space="preserve">continued to </w:t>
      </w:r>
      <w:r w:rsidR="00504E9D" w:rsidRPr="00AA4608">
        <w:t>rise</w:t>
      </w:r>
      <w:r w:rsidR="00FF49A7" w:rsidRPr="00AA4608">
        <w:t>.</w:t>
      </w:r>
      <w:r w:rsidR="00504E9D" w:rsidRPr="00AA4608">
        <w:t xml:space="preserve"> </w:t>
      </w:r>
      <w:r w:rsidR="00FA6FFF" w:rsidRPr="00AA4608">
        <w:t>By the late 1940s</w:t>
      </w:r>
      <w:r w:rsidR="002B219F" w:rsidRPr="00AA4608">
        <w:t xml:space="preserve">, </w:t>
      </w:r>
      <w:r w:rsidR="00D73D05" w:rsidRPr="00AA4608">
        <w:t>over</w:t>
      </w:r>
      <w:r w:rsidR="00D73D05">
        <w:t xml:space="preserve"> 80% of criminal cases were resolved through plea bargains.</w:t>
      </w:r>
      <w:r w:rsidR="00D73D05">
        <w:rPr>
          <w:rStyle w:val="EndnoteReference"/>
        </w:rPr>
        <w:endnoteReference w:id="14"/>
      </w:r>
      <w:r w:rsidR="002A41F8">
        <w:t xml:space="preserve"> Over the next three decades, </w:t>
      </w:r>
      <w:r w:rsidR="00026A06">
        <w:t xml:space="preserve">more and more individuals were </w:t>
      </w:r>
      <w:r w:rsidR="00070ACC">
        <w:t>charged with</w:t>
      </w:r>
      <w:r w:rsidR="00026A06">
        <w:t xml:space="preserve"> crim</w:t>
      </w:r>
      <w:r w:rsidR="00070ACC">
        <w:t xml:space="preserve">inal violations. In the </w:t>
      </w:r>
      <w:r w:rsidR="00BE087A">
        <w:t xml:space="preserve">1970s and 1980s, </w:t>
      </w:r>
      <w:r w:rsidR="00DC250F">
        <w:t>state and federal</w:t>
      </w:r>
      <w:r w:rsidR="00815DC0">
        <w:t xml:space="preserve"> legislatures</w:t>
      </w:r>
      <w:r w:rsidR="00DC250F">
        <w:t xml:space="preserve"> </w:t>
      </w:r>
      <w:r w:rsidR="00815DC0">
        <w:t>increased criminal penalties, particularly for drug-related crimes, and mandatory minimum and maximum sentences began taking hold across the country.</w:t>
      </w:r>
      <w:r w:rsidR="00F17687">
        <w:t xml:space="preserve"> </w:t>
      </w:r>
      <w:r w:rsidR="002478AE">
        <w:t xml:space="preserve">Many states went as far as establishing “three strikes” laws, which mandated life sentences </w:t>
      </w:r>
      <w:r w:rsidR="007037B3">
        <w:t>for any defendant convicted of a third</w:t>
      </w:r>
      <w:r w:rsidR="002345B8">
        <w:t xml:space="preserve"> felony </w:t>
      </w:r>
      <w:r w:rsidR="007037B3">
        <w:t>offense.</w:t>
      </w:r>
      <w:r w:rsidR="000E7C6F">
        <w:t xml:space="preserve"> </w:t>
      </w:r>
    </w:p>
    <w:p w14:paraId="3296BB83" w14:textId="4F603FC2" w:rsidR="00DF1B62" w:rsidRDefault="000E7C6F" w:rsidP="00C5284A">
      <w:pPr>
        <w:spacing w:after="0" w:line="480" w:lineRule="auto"/>
        <w:ind w:firstLine="720"/>
        <w:jc w:val="both"/>
      </w:pPr>
      <w:r>
        <w:lastRenderedPageBreak/>
        <w:t xml:space="preserve">Given the </w:t>
      </w:r>
      <w:r w:rsidR="00F9716A">
        <w:t xml:space="preserve">potential </w:t>
      </w:r>
      <w:r w:rsidR="00F50153">
        <w:t xml:space="preserve">consequences </w:t>
      </w:r>
      <w:r w:rsidR="00F9716A">
        <w:t xml:space="preserve">of these </w:t>
      </w:r>
      <w:r>
        <w:t>unprecedented harsh sentences,</w:t>
      </w:r>
      <w:r w:rsidR="00F9716A">
        <w:t xml:space="preserve"> </w:t>
      </w:r>
      <w:r w:rsidR="00AA4608">
        <w:t>prosecutors were given significant bargaining power during plea negotiations.</w:t>
      </w:r>
      <w:r w:rsidR="00587606">
        <w:t xml:space="preserve"> As Michelle Alexander </w:t>
      </w:r>
      <w:r w:rsidR="009641B3">
        <w:t>points out</w:t>
      </w:r>
      <w:r w:rsidR="00587606">
        <w:t xml:space="preserve"> in her book, </w:t>
      </w:r>
      <w:r w:rsidR="00587606">
        <w:rPr>
          <w:i/>
          <w:iCs/>
        </w:rPr>
        <w:t>The New Jim Crow</w:t>
      </w:r>
      <w:r w:rsidR="009641B3">
        <w:rPr>
          <w:i/>
          <w:iCs/>
        </w:rPr>
        <w:t>: Mass Incarceration in the Age of Colorblindness</w:t>
      </w:r>
      <w:r w:rsidR="009641B3">
        <w:t>,</w:t>
      </w:r>
      <w:r w:rsidR="00E46CFA">
        <w:t xml:space="preserve"> </w:t>
      </w:r>
      <w:r w:rsidR="0067338B">
        <w:t>these statutory schemes</w:t>
      </w:r>
      <w:r w:rsidR="009641B3">
        <w:t xml:space="preserve"> </w:t>
      </w:r>
      <w:r w:rsidR="007572AE">
        <w:t>“have transferred</w:t>
      </w:r>
      <w:r>
        <w:t xml:space="preserve"> an enormous </w:t>
      </w:r>
      <w:r w:rsidR="00872D45">
        <w:t>amount of power from judges to prosecutors</w:t>
      </w:r>
      <w:r w:rsidR="00407E24">
        <w:t>. Now, simply by charging someone with an offense carrying a mandatory sentence</w:t>
      </w:r>
      <w:r w:rsidR="00F34D2A">
        <w:t xml:space="preserve"> of ten to fifteen years or life, prosecutors are able to force</w:t>
      </w:r>
      <w:r w:rsidR="000256E7">
        <w:t xml:space="preserve"> people to plead guilty rather than risk a decade or more in prison.</w:t>
      </w:r>
      <w:r w:rsidR="005D0DE8">
        <w:t>”</w:t>
      </w:r>
      <w:r w:rsidR="000B054E" w:rsidRPr="000B054E">
        <w:rPr>
          <w:rStyle w:val="EndnoteReference"/>
        </w:rPr>
        <w:t xml:space="preserve"> </w:t>
      </w:r>
      <w:r w:rsidR="000B054E">
        <w:rPr>
          <w:rStyle w:val="EndnoteReference"/>
        </w:rPr>
        <w:endnoteReference w:id="15"/>
      </w:r>
      <w:r w:rsidR="000B054E">
        <w:t xml:space="preserve"> </w:t>
      </w:r>
      <w:r w:rsidR="00767824">
        <w:t>By overcharging</w:t>
      </w:r>
      <w:r w:rsidR="008F5D2E">
        <w:t>, a common practice</w:t>
      </w:r>
      <w:r w:rsidR="00767824">
        <w:t xml:space="preserve"> </w:t>
      </w:r>
      <w:r w:rsidR="004D5771">
        <w:t>where prosecutors “</w:t>
      </w:r>
      <w:r w:rsidR="006F21AE">
        <w:t>charge people with crimes for which they technically have probable cause but which they seriously doubt they could ever win in court</w:t>
      </w:r>
      <w:r w:rsidR="004D5771">
        <w:t>,</w:t>
      </w:r>
      <w:r w:rsidR="006F21AE">
        <w:t>”</w:t>
      </w:r>
      <w:r w:rsidR="004D5771">
        <w:t xml:space="preserve"> </w:t>
      </w:r>
      <w:r w:rsidR="00F03CB9">
        <w:t xml:space="preserve">prosecutors </w:t>
      </w:r>
      <w:r w:rsidR="007F000F">
        <w:t>obtain</w:t>
      </w:r>
      <w:r w:rsidR="00F50153">
        <w:t>ed</w:t>
      </w:r>
      <w:r w:rsidR="00434101">
        <w:t xml:space="preserve"> a significant</w:t>
      </w:r>
      <w:r w:rsidR="00F03CB9">
        <w:t xml:space="preserve"> advantage in</w:t>
      </w:r>
      <w:r w:rsidR="00434101">
        <w:t xml:space="preserve"> plea</w:t>
      </w:r>
      <w:r w:rsidR="00DD183A">
        <w:t xml:space="preserve"> negotiations</w:t>
      </w:r>
      <w:r w:rsidR="004F6C5A">
        <w:t xml:space="preserve"> against</w:t>
      </w:r>
      <w:r w:rsidR="004347D9">
        <w:t xml:space="preserve"> terrified defendants</w:t>
      </w:r>
      <w:r w:rsidR="00DD183A">
        <w:t>.</w:t>
      </w:r>
      <w:r w:rsidR="00DD183A">
        <w:rPr>
          <w:rStyle w:val="EndnoteReference"/>
        </w:rPr>
        <w:endnoteReference w:id="16"/>
      </w:r>
      <w:r w:rsidR="00633B90">
        <w:t xml:space="preserve"> </w:t>
      </w:r>
    </w:p>
    <w:p w14:paraId="592CF7E7" w14:textId="6C447212" w:rsidR="004A187E" w:rsidRDefault="004309CC" w:rsidP="00C5284A">
      <w:pPr>
        <w:spacing w:after="0" w:line="480" w:lineRule="auto"/>
        <w:ind w:firstLine="720"/>
        <w:jc w:val="both"/>
      </w:pPr>
      <w:r>
        <w:t>Today, plea bargaining</w:t>
      </w:r>
      <w:r w:rsidR="00671AD3">
        <w:t xml:space="preserve"> has </w:t>
      </w:r>
      <w:r w:rsidR="00BF0491">
        <w:t xml:space="preserve">virtually replaced the jury trial process in criminal proceedings. </w:t>
      </w:r>
      <w:r w:rsidR="003A566C">
        <w:t>Federal criminal convictions resulting from jury trials dropped from 8.2% in 1962 to 3.6% in 2013.</w:t>
      </w:r>
      <w:r w:rsidR="003A566C">
        <w:rPr>
          <w:rStyle w:val="EndnoteReference"/>
        </w:rPr>
        <w:endnoteReference w:id="17"/>
      </w:r>
      <w:r w:rsidR="005A59EA">
        <w:t xml:space="preserve"> More recently, </w:t>
      </w:r>
      <w:r w:rsidR="00406427">
        <w:t>in fiscal year 2020 (October 1, 2019 – September 30, 2020)</w:t>
      </w:r>
      <w:r w:rsidR="005A59EA">
        <w:t xml:space="preserve">, guilty pleas accounted for </w:t>
      </w:r>
      <w:r w:rsidR="00D55E2B">
        <w:t>approximately</w:t>
      </w:r>
      <w:r w:rsidR="005A59EA">
        <w:t xml:space="preserve"> 9</w:t>
      </w:r>
      <w:r w:rsidR="00C70511">
        <w:t>7.8</w:t>
      </w:r>
      <w:r w:rsidR="005A59EA">
        <w:t xml:space="preserve">% </w:t>
      </w:r>
      <w:r w:rsidR="00530A0B">
        <w:t xml:space="preserve">of </w:t>
      </w:r>
      <w:r w:rsidR="00C70511">
        <w:t xml:space="preserve">federal </w:t>
      </w:r>
      <w:r w:rsidR="00530A0B">
        <w:t>criminal convictions</w:t>
      </w:r>
      <w:r w:rsidR="004F0FE9">
        <w:t>,</w:t>
      </w:r>
      <w:r w:rsidR="00200A16">
        <w:rPr>
          <w:rStyle w:val="EndnoteReference"/>
        </w:rPr>
        <w:endnoteReference w:id="18"/>
      </w:r>
      <w:r w:rsidR="004F0FE9">
        <w:t xml:space="preserve"> with no data available on the percentage of convictions resulting from criminal trials</w:t>
      </w:r>
      <w:r w:rsidR="009432EE">
        <w:t>.</w:t>
      </w:r>
      <w:r w:rsidR="00200A16">
        <w:rPr>
          <w:rStyle w:val="EndnoteReference"/>
        </w:rPr>
        <w:endnoteReference w:id="19"/>
      </w:r>
      <w:r w:rsidR="00343C07">
        <w:t xml:space="preserve"> </w:t>
      </w:r>
      <w:r w:rsidR="0071043F">
        <w:t>Plea bargaining</w:t>
      </w:r>
      <w:r w:rsidR="000400CB">
        <w:t xml:space="preserve"> is so common </w:t>
      </w:r>
      <w:r w:rsidR="00671AD3">
        <w:t xml:space="preserve">that Justice Kennedy </w:t>
      </w:r>
      <w:r w:rsidR="005F025D">
        <w:t>has</w:t>
      </w:r>
      <w:r w:rsidR="00A95A3B">
        <w:t xml:space="preserve"> referred to our modern criminal justice system as “a system of pleas, not a system of trials</w:t>
      </w:r>
      <w:r w:rsidR="00AA621C">
        <w:t>”</w:t>
      </w:r>
      <w:r w:rsidR="00AA621C">
        <w:rPr>
          <w:rStyle w:val="EndnoteReference"/>
        </w:rPr>
        <w:endnoteReference w:id="20"/>
      </w:r>
      <w:r w:rsidR="005F025D">
        <w:t xml:space="preserve"> and </w:t>
      </w:r>
      <w:r w:rsidR="00CE766E">
        <w:t>acknowledged</w:t>
      </w:r>
      <w:r w:rsidR="00C03FB9">
        <w:t xml:space="preserve"> </w:t>
      </w:r>
      <w:r w:rsidR="004377DE">
        <w:t xml:space="preserve">that plea bargaining </w:t>
      </w:r>
      <w:r w:rsidR="00DF5A9F">
        <w:t>is “not some adjunct to the criminal justice system; it is the criminal justice system.”</w:t>
      </w:r>
      <w:r w:rsidR="00DF5A9F">
        <w:rPr>
          <w:rStyle w:val="EndnoteReference"/>
        </w:rPr>
        <w:endnoteReference w:id="21"/>
      </w:r>
      <w:r w:rsidR="00B16BF3">
        <w:t xml:space="preserve"> </w:t>
      </w:r>
    </w:p>
    <w:p w14:paraId="6BD95848" w14:textId="7CE37E91" w:rsidR="001E0149" w:rsidRPr="00D14E0E" w:rsidRDefault="00EA1EA8" w:rsidP="00C5284A">
      <w:pPr>
        <w:pStyle w:val="ListParagraph"/>
        <w:numPr>
          <w:ilvl w:val="0"/>
          <w:numId w:val="4"/>
        </w:numPr>
        <w:spacing w:after="0" w:line="480" w:lineRule="auto"/>
        <w:ind w:left="0" w:firstLine="0"/>
        <w:jc w:val="center"/>
        <w:rPr>
          <w:b/>
          <w:bCs/>
          <w:u w:val="single"/>
        </w:rPr>
      </w:pPr>
      <w:r w:rsidRPr="00D14E0E">
        <w:rPr>
          <w:b/>
          <w:bCs/>
          <w:u w:val="single"/>
        </w:rPr>
        <w:t>How</w:t>
      </w:r>
      <w:r w:rsidR="00587BEB" w:rsidRPr="00D14E0E">
        <w:rPr>
          <w:b/>
          <w:bCs/>
          <w:u w:val="single"/>
        </w:rPr>
        <w:t xml:space="preserve"> Plea Bargaining </w:t>
      </w:r>
      <w:r w:rsidR="00EA07E3" w:rsidRPr="00D14E0E">
        <w:rPr>
          <w:b/>
          <w:bCs/>
          <w:u w:val="single"/>
        </w:rPr>
        <w:t>Favors Prosecutors</w:t>
      </w:r>
    </w:p>
    <w:p w14:paraId="3E9815B1" w14:textId="56B9A446" w:rsidR="00BE758D" w:rsidRDefault="00BE758D" w:rsidP="00C5284A">
      <w:pPr>
        <w:spacing w:after="0" w:line="480" w:lineRule="auto"/>
        <w:ind w:firstLine="720"/>
        <w:jc w:val="both"/>
      </w:pPr>
      <w:r>
        <w:t xml:space="preserve">If Justice Kennedy is correct that plea bargaining </w:t>
      </w:r>
      <w:r>
        <w:rPr>
          <w:i/>
          <w:iCs/>
        </w:rPr>
        <w:t>is</w:t>
      </w:r>
      <w:r>
        <w:t xml:space="preserve"> the criminal justice system, </w:t>
      </w:r>
      <w:r w:rsidR="00CE2866">
        <w:t xml:space="preserve">shouldn’t we be concerned that the practice </w:t>
      </w:r>
      <w:r w:rsidR="008A20B1">
        <w:t>lacks</w:t>
      </w:r>
      <w:r w:rsidR="006D2DDE">
        <w:t xml:space="preserve"> any meaningful</w:t>
      </w:r>
      <w:r w:rsidR="008A20B1">
        <w:t xml:space="preserve"> transparency or supervisory review</w:t>
      </w:r>
      <w:r w:rsidR="006D2DDE">
        <w:t xml:space="preserve">? </w:t>
      </w:r>
      <w:r w:rsidR="002532D9">
        <w:t>Indeed, m</w:t>
      </w:r>
      <w:r w:rsidR="006D2DDE">
        <w:t>any legal scholars</w:t>
      </w:r>
      <w:r w:rsidR="004A1ABF">
        <w:t xml:space="preserve"> </w:t>
      </w:r>
      <w:r w:rsidR="009B585B">
        <w:t>consider</w:t>
      </w:r>
      <w:r w:rsidR="006D2DDE">
        <w:t xml:space="preserve"> plea</w:t>
      </w:r>
      <w:r w:rsidR="00D304F5">
        <w:t xml:space="preserve"> bargaining as operating “beyond the shadow of the law”</w:t>
      </w:r>
      <w:r w:rsidR="00C356B7">
        <w:t xml:space="preserve"> </w:t>
      </w:r>
      <w:r w:rsidR="00752A83">
        <w:t>due to the</w:t>
      </w:r>
      <w:r w:rsidR="00C356B7">
        <w:t xml:space="preserve"> </w:t>
      </w:r>
      <w:r w:rsidR="004A1ABF">
        <w:t>insufficient</w:t>
      </w:r>
      <w:r w:rsidR="00217BA2">
        <w:t xml:space="preserve"> statutory </w:t>
      </w:r>
      <w:r w:rsidR="00C356B7">
        <w:t>regulation o</w:t>
      </w:r>
      <w:r w:rsidR="00741DEE">
        <w:t>f</w:t>
      </w:r>
      <w:r w:rsidR="00C356B7">
        <w:t xml:space="preserve"> prosecutorial power</w:t>
      </w:r>
      <w:r w:rsidR="00810D64">
        <w:t>.</w:t>
      </w:r>
      <w:r w:rsidR="00810D64">
        <w:rPr>
          <w:rStyle w:val="EndnoteReference"/>
        </w:rPr>
        <w:endnoteReference w:id="22"/>
      </w:r>
      <w:r w:rsidR="003E2543">
        <w:t xml:space="preserve"> </w:t>
      </w:r>
      <w:r w:rsidR="00CF3986">
        <w:t xml:space="preserve">Even the constitutional law of </w:t>
      </w:r>
      <w:r w:rsidR="00CF3986">
        <w:lastRenderedPageBreak/>
        <w:t xml:space="preserve">criminal procedure, </w:t>
      </w:r>
      <w:r w:rsidR="00757381">
        <w:t xml:space="preserve">designed </w:t>
      </w:r>
      <w:r w:rsidR="00F73269">
        <w:t xml:space="preserve">to regulate </w:t>
      </w:r>
      <w:r w:rsidR="00554864">
        <w:t xml:space="preserve">the criminal legal system </w:t>
      </w:r>
      <w:r w:rsidR="00852473">
        <w:t xml:space="preserve">federally and </w:t>
      </w:r>
      <w:r w:rsidR="00554864">
        <w:t>on a state level</w:t>
      </w:r>
      <w:r w:rsidR="00E87454">
        <w:t>, “imposes virtually no constraints on prosecutors’ plea bargaining practices at all</w:t>
      </w:r>
      <w:r w:rsidR="00AC312C">
        <w:t>,</w:t>
      </w:r>
      <w:r w:rsidR="00E87454">
        <w:t>”</w:t>
      </w:r>
      <w:r w:rsidR="00E87454">
        <w:rPr>
          <w:rStyle w:val="EndnoteReference"/>
        </w:rPr>
        <w:endnoteReference w:id="23"/>
      </w:r>
      <w:r w:rsidR="00C958E3">
        <w:t xml:space="preserve"> </w:t>
      </w:r>
      <w:r w:rsidR="00AC312C">
        <w:t xml:space="preserve">leaving </w:t>
      </w:r>
      <w:r w:rsidR="00946F73">
        <w:t xml:space="preserve">prosecutors free to use their mighty discretion as they see fit. </w:t>
      </w:r>
      <w:r w:rsidR="004746FD">
        <w:t xml:space="preserve">This dynamic is particularly concerning in highly adversarial jurisdictions, where prosecutors are </w:t>
      </w:r>
      <w:r w:rsidR="007F354A">
        <w:t>rewarded for high conviction rates</w:t>
      </w:r>
      <w:r w:rsidR="00241604">
        <w:t xml:space="preserve"> and defense attorneys have learned to</w:t>
      </w:r>
      <w:r w:rsidR="00852473">
        <w:t xml:space="preserve"> counsel their clients to</w:t>
      </w:r>
      <w:r w:rsidR="00241604">
        <w:t xml:space="preserve"> take any deal </w:t>
      </w:r>
      <w:r w:rsidR="00AF1048">
        <w:t>to avoid</w:t>
      </w:r>
      <w:r w:rsidR="00241604">
        <w:t xml:space="preserve"> </w:t>
      </w:r>
      <w:r w:rsidR="00AF1048">
        <w:t xml:space="preserve">prosecutorial retribution. </w:t>
      </w:r>
    </w:p>
    <w:p w14:paraId="64CE8DD9" w14:textId="7ACE5093" w:rsidR="00E07491" w:rsidRDefault="00FA7296" w:rsidP="00C5284A">
      <w:pPr>
        <w:spacing w:after="0" w:line="480" w:lineRule="auto"/>
        <w:ind w:firstLine="720"/>
        <w:jc w:val="both"/>
      </w:pPr>
      <w:r>
        <w:t xml:space="preserve">There are three main tactics prosecutors use to manipulate charges in order to </w:t>
      </w:r>
      <w:r w:rsidR="008B0CCC">
        <w:t>amplify their plea bargaining power: overcharging, piling on, and sliding down.</w:t>
      </w:r>
      <w:r w:rsidR="008B0CCC">
        <w:rPr>
          <w:rStyle w:val="EndnoteReference"/>
        </w:rPr>
        <w:endnoteReference w:id="24"/>
      </w:r>
      <w:r w:rsidR="00C707D7">
        <w:t xml:space="preserve"> Overcharging, or overreaching, </w:t>
      </w:r>
      <w:r w:rsidR="00285384">
        <w:t xml:space="preserve">takes place when a prosecutor </w:t>
      </w:r>
      <w:r w:rsidR="004A4006">
        <w:t>charges a defendant with a more serious charge than the e</w:t>
      </w:r>
      <w:r w:rsidR="00A010F3">
        <w:t>vidence or law may support, in order to intimidate a defendant into taking a plea for a lesser (and likely more accurate) charge.</w:t>
      </w:r>
      <w:r w:rsidR="00527A8D">
        <w:rPr>
          <w:rStyle w:val="EndnoteReference"/>
        </w:rPr>
        <w:endnoteReference w:id="25"/>
      </w:r>
      <w:r w:rsidR="00A010F3">
        <w:t xml:space="preserve"> </w:t>
      </w:r>
      <w:r w:rsidR="007741B0" w:rsidRPr="003C383C">
        <w:t>The</w:t>
      </w:r>
      <w:r w:rsidR="00532004" w:rsidRPr="003C383C">
        <w:t xml:space="preserve"> main protection against this </w:t>
      </w:r>
      <w:r w:rsidR="004D0791" w:rsidRPr="003C383C">
        <w:t>kind</w:t>
      </w:r>
      <w:r w:rsidR="00532004" w:rsidRPr="003C383C">
        <w:t xml:space="preserve"> of manipulation is</w:t>
      </w:r>
      <w:r w:rsidR="004D0791" w:rsidRPr="003C383C">
        <w:t xml:space="preserve"> </w:t>
      </w:r>
      <w:r w:rsidR="00F23805" w:rsidRPr="003C383C">
        <w:t>bringing the case to</w:t>
      </w:r>
      <w:r w:rsidR="004D0791" w:rsidRPr="003C383C">
        <w:t xml:space="preserve"> trial</w:t>
      </w:r>
      <w:r w:rsidR="003C383C" w:rsidRPr="003C383C">
        <w:t xml:space="preserve"> and</w:t>
      </w:r>
      <w:r w:rsidR="000071D7" w:rsidRPr="003C383C">
        <w:t xml:space="preserve"> allow</w:t>
      </w:r>
      <w:r w:rsidR="00F23805" w:rsidRPr="003C383C">
        <w:t>ing</w:t>
      </w:r>
      <w:r w:rsidR="000071D7" w:rsidRPr="003C383C">
        <w:t xml:space="preserve"> the jury to acquit a defendant charged with an offense that does not fit the evidence before it. </w:t>
      </w:r>
      <w:r w:rsidR="007B020F" w:rsidRPr="003C383C">
        <w:t>By</w:t>
      </w:r>
      <w:r w:rsidR="007B020F">
        <w:t xml:space="preserve"> taking a deal and pleading guilty</w:t>
      </w:r>
      <w:r w:rsidR="00F64B1B">
        <w:t>,</w:t>
      </w:r>
      <w:r w:rsidR="003C383C">
        <w:t xml:space="preserve"> as the vast majority of criminal defendants do,</w:t>
      </w:r>
      <w:r w:rsidR="007B020F">
        <w:t xml:space="preserve"> that </w:t>
      </w:r>
      <w:r w:rsidR="00C54A5A">
        <w:t>protection</w:t>
      </w:r>
      <w:r w:rsidR="007B020F">
        <w:t xml:space="preserve"> disappears</w:t>
      </w:r>
      <w:r w:rsidR="008C6F9F">
        <w:t xml:space="preserve"> and no adjudication on the merits of the prosecutor’s exaggerated charge can be mad</w:t>
      </w:r>
      <w:r w:rsidR="0013650D">
        <w:t xml:space="preserve">e, </w:t>
      </w:r>
      <w:r w:rsidR="00052108">
        <w:t>shielding</w:t>
      </w:r>
      <w:r w:rsidR="0013650D">
        <w:t xml:space="preserve"> the</w:t>
      </w:r>
      <w:r w:rsidR="0037232A">
        <w:t xml:space="preserve"> </w:t>
      </w:r>
      <w:r w:rsidR="0013650D">
        <w:t xml:space="preserve">prosecutor from any </w:t>
      </w:r>
      <w:r w:rsidR="00052108">
        <w:t xml:space="preserve">negative </w:t>
      </w:r>
      <w:r w:rsidR="0053600E">
        <w:t>consequences</w:t>
      </w:r>
      <w:r w:rsidR="00052108">
        <w:t xml:space="preserve"> and assuring a conviction almost every time</w:t>
      </w:r>
      <w:r w:rsidR="0013650D">
        <w:t>.</w:t>
      </w:r>
    </w:p>
    <w:p w14:paraId="176E384A" w14:textId="48A34516" w:rsidR="00306EA6" w:rsidRDefault="002E518B" w:rsidP="00C5284A">
      <w:pPr>
        <w:spacing w:after="0" w:line="480" w:lineRule="auto"/>
        <w:ind w:firstLine="720"/>
        <w:jc w:val="both"/>
      </w:pPr>
      <w:r>
        <w:t>‘</w:t>
      </w:r>
      <w:r w:rsidR="00F734CB">
        <w:t>Piling on</w:t>
      </w:r>
      <w:r>
        <w:t>’</w:t>
      </w:r>
      <w:r w:rsidR="00F734CB">
        <w:t xml:space="preserve"> occurs </w:t>
      </w:r>
      <w:r w:rsidR="0066313D">
        <w:t xml:space="preserve">most often </w:t>
      </w:r>
      <w:r w:rsidR="00F734CB">
        <w:t xml:space="preserve">in jurisdictions with </w:t>
      </w:r>
      <w:r w:rsidR="0066313D">
        <w:t>virtually unlimited joinder rules</w:t>
      </w:r>
      <w:r w:rsidR="00C90470">
        <w:t>, maximizing prosecutorial power</w:t>
      </w:r>
      <w:r w:rsidR="0080699A">
        <w:t xml:space="preserve"> to </w:t>
      </w:r>
      <w:r w:rsidR="00166B7B">
        <w:t xml:space="preserve">file and </w:t>
      </w:r>
      <w:r w:rsidR="0080699A">
        <w:t>join numerous charges</w:t>
      </w:r>
      <w:r w:rsidR="004E4479">
        <w:t xml:space="preserve"> against a single defendant</w:t>
      </w:r>
      <w:r w:rsidR="00C90470">
        <w:t>.</w:t>
      </w:r>
      <w:r w:rsidR="00C90470">
        <w:rPr>
          <w:rStyle w:val="EndnoteReference"/>
        </w:rPr>
        <w:endnoteReference w:id="26"/>
      </w:r>
      <w:r w:rsidR="00B80635">
        <w:t xml:space="preserve"> Most states</w:t>
      </w:r>
      <w:r>
        <w:t xml:space="preserve"> </w:t>
      </w:r>
      <w:r w:rsidR="00D4527F">
        <w:t xml:space="preserve">permit </w:t>
      </w:r>
      <w:r w:rsidR="00707588">
        <w:t>joinder “even for factually unrelated events, so long as those offenses are similar in kind</w:t>
      </w:r>
      <w:r w:rsidR="005C2497">
        <w:t>,</w:t>
      </w:r>
      <w:r w:rsidR="00707588">
        <w:t>”</w:t>
      </w:r>
      <w:r w:rsidR="005C2497">
        <w:t xml:space="preserve"> allowing </w:t>
      </w:r>
      <w:r w:rsidR="00233E97">
        <w:t>any prosecutor who can make a convincing argument</w:t>
      </w:r>
      <w:r w:rsidR="005838BB">
        <w:t xml:space="preserve"> connecting </w:t>
      </w:r>
      <w:r w:rsidR="00CC2BEB">
        <w:t xml:space="preserve">separate </w:t>
      </w:r>
      <w:r w:rsidR="005838BB">
        <w:t>offenses</w:t>
      </w:r>
      <w:r w:rsidR="0030427B">
        <w:t xml:space="preserve"> to pile on charges and increase the maximum sentence </w:t>
      </w:r>
      <w:r w:rsidR="007E70AF">
        <w:t xml:space="preserve">facing </w:t>
      </w:r>
      <w:r w:rsidR="0030427B">
        <w:t>a defendant</w:t>
      </w:r>
      <w:r w:rsidR="005838BB">
        <w:t>.</w:t>
      </w:r>
      <w:r w:rsidR="007E70AF">
        <w:rPr>
          <w:rStyle w:val="EndnoteReference"/>
        </w:rPr>
        <w:endnoteReference w:id="27"/>
      </w:r>
      <w:r w:rsidR="00D26C24">
        <w:t xml:space="preserve"> The ability to pile on charges, much like the ability to overcharge, </w:t>
      </w:r>
      <w:r w:rsidR="0054377B">
        <w:t xml:space="preserve">allows prosecutors to intimidate defendants with </w:t>
      </w:r>
      <w:r w:rsidR="004359FB">
        <w:t xml:space="preserve">the potential of a lengthy prison sentence and multiple fines, giving them better bargaining </w:t>
      </w:r>
      <w:r w:rsidR="004359FB">
        <w:lastRenderedPageBreak/>
        <w:t>power</w:t>
      </w:r>
      <w:r w:rsidR="00033535">
        <w:t xml:space="preserve"> and </w:t>
      </w:r>
      <w:r w:rsidR="00693E44">
        <w:t>making it less likely that the</w:t>
      </w:r>
      <w:r w:rsidR="00033535">
        <w:t xml:space="preserve"> defendant</w:t>
      </w:r>
      <w:r w:rsidR="00693E44">
        <w:t xml:space="preserve"> will choose </w:t>
      </w:r>
      <w:r w:rsidR="00033535">
        <w:t>to go to trial</w:t>
      </w:r>
      <w:r w:rsidR="004E308B">
        <w:t xml:space="preserve"> for fear of multiple convictions.</w:t>
      </w:r>
      <w:r w:rsidR="005838BB">
        <w:t xml:space="preserve"> </w:t>
      </w:r>
      <w:r w:rsidR="00A7724C">
        <w:t xml:space="preserve">In </w:t>
      </w:r>
      <w:r w:rsidR="00A7724C">
        <w:rPr>
          <w:i/>
          <w:iCs/>
        </w:rPr>
        <w:t>Arbitrary Justice: The Power of the American Prosecutor</w:t>
      </w:r>
      <w:r w:rsidR="00A7724C">
        <w:t xml:space="preserve">, </w:t>
      </w:r>
      <w:r w:rsidR="00371BBF">
        <w:t xml:space="preserve">Angela Davis explains </w:t>
      </w:r>
      <w:r w:rsidR="00A7724C">
        <w:t>how this</w:t>
      </w:r>
      <w:r w:rsidR="00371BBF">
        <w:t xml:space="preserve"> practice</w:t>
      </w:r>
      <w:r w:rsidR="00A7724C">
        <w:t xml:space="preserve"> give</w:t>
      </w:r>
      <w:r w:rsidR="00DD040E">
        <w:t>s</w:t>
      </w:r>
      <w:r w:rsidR="00A7724C">
        <w:t xml:space="preserve"> the prosecutor “more ‘bang for the buck’ ”</w:t>
      </w:r>
      <w:r w:rsidR="00C10344">
        <w:t xml:space="preserve"> during plea negotiations</w:t>
      </w:r>
      <w:r w:rsidR="00371BBF">
        <w:t xml:space="preserve">: </w:t>
      </w:r>
    </w:p>
    <w:p w14:paraId="72472186" w14:textId="70BDD843" w:rsidR="00371BBF" w:rsidRPr="00371BBF" w:rsidRDefault="00B57070" w:rsidP="00C5284A">
      <w:pPr>
        <w:spacing w:line="240" w:lineRule="auto"/>
        <w:ind w:left="1440" w:right="1440"/>
        <w:jc w:val="both"/>
      </w:pPr>
      <w:r>
        <w:t xml:space="preserve">If the prosecutor charges five offenses instead of two, he may get the defendant to agree to plead guilty to </w:t>
      </w:r>
      <w:r w:rsidR="00221D6C">
        <w:t xml:space="preserve">three charges in exchange for his agreement to dismiss two, even if he would have a difficult time proving the two charges before a judge or jury. </w:t>
      </w:r>
      <w:r w:rsidR="007647C0">
        <w:t xml:space="preserve">On the other hand, </w:t>
      </w:r>
      <w:r w:rsidR="00724358">
        <w:t>if the prosecutor only charges the three offenses for which he has solid proof beyond a reasonable doubt</w:t>
      </w:r>
      <w:r w:rsidR="00B96EEC">
        <w:t xml:space="preserve">, he will have less with which to </w:t>
      </w:r>
      <w:r w:rsidR="00D633AB">
        <w:t>bargain and will probably secure a guilty plea to only one offense in exchange for his promise to dismiss two.</w:t>
      </w:r>
      <w:r w:rsidR="0088775C">
        <w:rPr>
          <w:rStyle w:val="EndnoteReference"/>
        </w:rPr>
        <w:endnoteReference w:id="28"/>
      </w:r>
    </w:p>
    <w:p w14:paraId="666E2C9F" w14:textId="602FA25C" w:rsidR="00052108" w:rsidRDefault="007647C0" w:rsidP="00C5284A">
      <w:pPr>
        <w:spacing w:before="240" w:after="0" w:line="480" w:lineRule="auto"/>
        <w:ind w:firstLine="720"/>
        <w:jc w:val="both"/>
      </w:pPr>
      <w:r>
        <w:t>S</w:t>
      </w:r>
      <w:r w:rsidR="00686883">
        <w:t xml:space="preserve">ome states, like Texas, </w:t>
      </w:r>
      <w:r w:rsidR="00F00BBF">
        <w:t xml:space="preserve">restrain this prosecutorial power by requiring a single charge per criminal </w:t>
      </w:r>
      <w:r w:rsidR="00F5409C">
        <w:t>offense</w:t>
      </w:r>
      <w:r w:rsidR="00F00BBF">
        <w:t xml:space="preserve"> and </w:t>
      </w:r>
      <w:r w:rsidR="004B1BDD">
        <w:t xml:space="preserve">generally </w:t>
      </w:r>
      <w:r w:rsidR="00D219ED">
        <w:t>prohibiting joinder for factually unrelated events.</w:t>
      </w:r>
      <w:r w:rsidR="00D219ED">
        <w:rPr>
          <w:rStyle w:val="EndnoteReference"/>
        </w:rPr>
        <w:endnoteReference w:id="29"/>
      </w:r>
      <w:r w:rsidR="001E04CE">
        <w:t xml:space="preserve"> </w:t>
      </w:r>
      <w:r>
        <w:t>While p</w:t>
      </w:r>
      <w:r w:rsidR="001E04CE">
        <w:t xml:space="preserve">rosecutors in these states are still able to threaten to bring the charges in separate cases, </w:t>
      </w:r>
      <w:r>
        <w:t>they</w:t>
      </w:r>
      <w:r w:rsidR="001E04CE">
        <w:t xml:space="preserve"> </w:t>
      </w:r>
      <w:r w:rsidR="00323FBF">
        <w:t>are unlikely to do so given the court</w:t>
      </w:r>
      <w:r w:rsidR="00837A38">
        <w:t>’</w:t>
      </w:r>
      <w:r w:rsidR="00323FBF">
        <w:t xml:space="preserve">s </w:t>
      </w:r>
      <w:r w:rsidR="007E3418">
        <w:t>extensive dockets and</w:t>
      </w:r>
      <w:r w:rsidR="001E04CE">
        <w:t xml:space="preserve"> </w:t>
      </w:r>
      <w:r w:rsidR="007E3418">
        <w:t xml:space="preserve">their </w:t>
      </w:r>
      <w:r w:rsidR="00837A38">
        <w:t>objective</w:t>
      </w:r>
      <w:r w:rsidR="007E3418">
        <w:t xml:space="preserve"> to move cases along as quickly as possible.</w:t>
      </w:r>
    </w:p>
    <w:p w14:paraId="4B0A10F3" w14:textId="0204B243" w:rsidR="00935BF8" w:rsidRDefault="00CB5249" w:rsidP="00C5284A">
      <w:pPr>
        <w:spacing w:after="0" w:line="480" w:lineRule="auto"/>
        <w:ind w:firstLine="720"/>
        <w:jc w:val="both"/>
      </w:pPr>
      <w:r>
        <w:t>Finally, prosecutors</w:t>
      </w:r>
      <w:r w:rsidR="00E7315A">
        <w:t xml:space="preserve"> rely on their discretionary power to ‘slide down’ on the higher charges should the case go to trial by amending their charges or asking for a jury instruction for a lesser included offense.</w:t>
      </w:r>
      <w:r w:rsidR="00AB6E20">
        <w:rPr>
          <w:rStyle w:val="EndnoteReference"/>
        </w:rPr>
        <w:endnoteReference w:id="30"/>
      </w:r>
      <w:r w:rsidR="00E7315A">
        <w:t xml:space="preserve"> </w:t>
      </w:r>
      <w:r w:rsidR="00FE56CE">
        <w:t xml:space="preserve">This tactic often goes hand-in-hand with piling on, as the practice allows prosecutors to </w:t>
      </w:r>
      <w:r w:rsidR="00EA325E">
        <w:t xml:space="preserve">use additional, lesser charges as a </w:t>
      </w:r>
      <w:r w:rsidR="00322BC0">
        <w:t>‘</w:t>
      </w:r>
      <w:r w:rsidR="00EA325E">
        <w:t>backup</w:t>
      </w:r>
      <w:r w:rsidR="00322BC0">
        <w:t>’</w:t>
      </w:r>
      <w:r w:rsidR="00EA325E">
        <w:t xml:space="preserve"> option should the case go to trial, while maintaining their bargaining power over the defendant</w:t>
      </w:r>
      <w:r w:rsidR="00FB2DCC">
        <w:t xml:space="preserve"> during</w:t>
      </w:r>
      <w:r w:rsidR="00C63DDF">
        <w:t xml:space="preserve"> pretrial</w:t>
      </w:r>
      <w:r w:rsidR="00FB2DCC">
        <w:t xml:space="preserve"> plea negotiations. </w:t>
      </w:r>
    </w:p>
    <w:p w14:paraId="4603573F" w14:textId="3AC3902D" w:rsidR="00461407" w:rsidRDefault="00710DFC" w:rsidP="00C5284A">
      <w:pPr>
        <w:spacing w:after="0" w:line="480" w:lineRule="auto"/>
        <w:ind w:firstLine="720"/>
        <w:jc w:val="both"/>
      </w:pPr>
      <w:r>
        <w:t xml:space="preserve">It is important to note that while these three tactics are being employed, </w:t>
      </w:r>
      <w:r w:rsidR="00AD35F0">
        <w:t>prosecutors</w:t>
      </w:r>
      <w:r>
        <w:t xml:space="preserve"> </w:t>
      </w:r>
      <w:r w:rsidR="00AD35F0">
        <w:t xml:space="preserve">remain largely unchecked and unregulated throughout the plea negotiation process. </w:t>
      </w:r>
      <w:r w:rsidR="00AC312C">
        <w:t>Angela Davis</w:t>
      </w:r>
      <w:r w:rsidR="00371BBF">
        <w:t xml:space="preserve"> notes</w:t>
      </w:r>
      <w:r w:rsidR="00AC312C">
        <w:rPr>
          <w:i/>
          <w:iCs/>
        </w:rPr>
        <w:t xml:space="preserve">, </w:t>
      </w:r>
      <w:r w:rsidR="00AC312C">
        <w:t>“the most remarkable feature of these important, sometimes life-and-death decisions is that they are totally discretionary and virtually unreviewable.”</w:t>
      </w:r>
      <w:r w:rsidR="0054797B">
        <w:rPr>
          <w:rStyle w:val="EndnoteReference"/>
        </w:rPr>
        <w:endnoteReference w:id="31"/>
      </w:r>
      <w:r w:rsidR="00D47C05">
        <w:t xml:space="preserve"> </w:t>
      </w:r>
      <w:r w:rsidR="00FA41C2">
        <w:t>In response, g</w:t>
      </w:r>
      <w:r w:rsidR="00D47C05">
        <w:t>roups like the A</w:t>
      </w:r>
      <w:r w:rsidR="00DD085E">
        <w:t xml:space="preserve">merican </w:t>
      </w:r>
      <w:r w:rsidR="00D47C05">
        <w:t>C</w:t>
      </w:r>
      <w:r w:rsidR="00DD085E">
        <w:t xml:space="preserve">ivil </w:t>
      </w:r>
      <w:r w:rsidR="00D47C05">
        <w:t>L</w:t>
      </w:r>
      <w:r w:rsidR="00DD085E">
        <w:t xml:space="preserve">iberties </w:t>
      </w:r>
      <w:r w:rsidR="00D47C05">
        <w:t>U</w:t>
      </w:r>
      <w:r w:rsidR="00DD085E">
        <w:t xml:space="preserve">nion (ACLU) have </w:t>
      </w:r>
      <w:r w:rsidR="00FA41C2">
        <w:t>proposed statewide legislation</w:t>
      </w:r>
      <w:r w:rsidR="00867989">
        <w:t xml:space="preserve"> that would </w:t>
      </w:r>
      <w:r w:rsidR="00F650D4">
        <w:t>“</w:t>
      </w:r>
      <w:r w:rsidR="00867989">
        <w:t xml:space="preserve">set transparency standards for </w:t>
      </w:r>
      <w:r w:rsidR="00F650D4">
        <w:t xml:space="preserve">elected </w:t>
      </w:r>
      <w:r w:rsidR="00867989">
        <w:t>prosecutors</w:t>
      </w:r>
      <w:r w:rsidR="00F650D4">
        <w:t xml:space="preserve">” </w:t>
      </w:r>
      <w:r w:rsidR="006F362B">
        <w:t xml:space="preserve">and </w:t>
      </w:r>
      <w:r w:rsidR="00F650D4">
        <w:t>requir</w:t>
      </w:r>
      <w:r w:rsidR="006F362B">
        <w:t>e prosecutorial data to</w:t>
      </w:r>
      <w:r w:rsidR="00F650D4">
        <w:t xml:space="preserve"> be</w:t>
      </w:r>
      <w:r w:rsidR="006F362B">
        <w:t xml:space="preserve"> made</w:t>
      </w:r>
      <w:r w:rsidR="00F650D4">
        <w:t xml:space="preserve"> available to th</w:t>
      </w:r>
      <w:r w:rsidR="006F362B">
        <w:t xml:space="preserve">eir </w:t>
      </w:r>
      <w:r w:rsidR="005A2840">
        <w:lastRenderedPageBreak/>
        <w:t>constituents</w:t>
      </w:r>
      <w:r w:rsidR="00F650D4">
        <w:t>.</w:t>
      </w:r>
      <w:r w:rsidR="006F362B">
        <w:rPr>
          <w:rStyle w:val="EndnoteReference"/>
        </w:rPr>
        <w:endnoteReference w:id="32"/>
      </w:r>
      <w:r w:rsidR="00F650D4">
        <w:t xml:space="preserve"> </w:t>
      </w:r>
      <w:r w:rsidR="00C63DDF">
        <w:t xml:space="preserve">Ideally, more </w:t>
      </w:r>
      <w:r w:rsidR="00B571EE">
        <w:t>transparency regarding the plea bargaining process would promote</w:t>
      </w:r>
      <w:r w:rsidR="00C3254A">
        <w:t xml:space="preserve"> </w:t>
      </w:r>
      <w:r w:rsidR="00821B0B">
        <w:t xml:space="preserve">fair dealings by prosecutors and reduce the risk of misconduct. </w:t>
      </w:r>
    </w:p>
    <w:p w14:paraId="42CFE000" w14:textId="28310C72" w:rsidR="00C20281" w:rsidRDefault="003B3998" w:rsidP="00C5284A">
      <w:pPr>
        <w:spacing w:after="0" w:line="480" w:lineRule="auto"/>
        <w:ind w:firstLine="720"/>
        <w:jc w:val="both"/>
      </w:pPr>
      <w:r>
        <w:t>Furthermore, due to</w:t>
      </w:r>
      <w:r w:rsidR="00BF408F">
        <w:t xml:space="preserve"> our system’s dependence on plea deals,</w:t>
      </w:r>
      <w:r w:rsidR="0082696D">
        <w:t xml:space="preserve"> </w:t>
      </w:r>
      <w:r w:rsidR="009812B1">
        <w:t>j</w:t>
      </w:r>
      <w:r w:rsidR="00461407">
        <w:t xml:space="preserve">udges </w:t>
      </w:r>
      <w:r w:rsidR="00D00510">
        <w:t xml:space="preserve">are </w:t>
      </w:r>
      <w:r w:rsidR="00C61282">
        <w:t xml:space="preserve">inundated </w:t>
      </w:r>
      <w:r w:rsidR="00D00510">
        <w:t>with</w:t>
      </w:r>
      <w:r w:rsidR="002D726A">
        <w:t xml:space="preserve"> </w:t>
      </w:r>
      <w:r w:rsidR="00BF408F">
        <w:t xml:space="preserve">guilty </w:t>
      </w:r>
      <w:r w:rsidR="002D726A">
        <w:t>plea</w:t>
      </w:r>
      <w:r w:rsidR="00D06968">
        <w:t>s</w:t>
      </w:r>
      <w:r w:rsidR="002D726A">
        <w:t xml:space="preserve"> </w:t>
      </w:r>
      <w:r w:rsidR="00B262B5">
        <w:t xml:space="preserve">throughout their day. Accordingly, </w:t>
      </w:r>
      <w:r w:rsidR="002D726A">
        <w:t>they are</w:t>
      </w:r>
      <w:r w:rsidR="00D00510">
        <w:t xml:space="preserve"> generally</w:t>
      </w:r>
      <w:r w:rsidR="00582F30">
        <w:t xml:space="preserve"> unable,</w:t>
      </w:r>
      <w:r w:rsidR="00C142BA">
        <w:t xml:space="preserve"> or unwilling,</w:t>
      </w:r>
      <w:r w:rsidR="002D726A">
        <w:t xml:space="preserve"> </w:t>
      </w:r>
      <w:r w:rsidR="00507BFE">
        <w:t>to</w:t>
      </w:r>
      <w:r w:rsidR="002D726A">
        <w:t xml:space="preserve"> critically examin</w:t>
      </w:r>
      <w:r w:rsidR="00507BFE">
        <w:t>e</w:t>
      </w:r>
      <w:r w:rsidR="002D726A">
        <w:t xml:space="preserve"> </w:t>
      </w:r>
      <w:r w:rsidR="00C142BA">
        <w:t>each</w:t>
      </w:r>
      <w:r w:rsidR="00507BFE">
        <w:t xml:space="preserve"> case</w:t>
      </w:r>
      <w:r w:rsidR="00C142BA">
        <w:t xml:space="preserve"> to</w:t>
      </w:r>
      <w:r w:rsidR="00507BFE">
        <w:t xml:space="preserve"> </w:t>
      </w:r>
      <w:r w:rsidR="00265D9E">
        <w:t xml:space="preserve">ensure justice is being served </w:t>
      </w:r>
      <w:r w:rsidR="00507BFE">
        <w:t>bef</w:t>
      </w:r>
      <w:r w:rsidR="00265D9E">
        <w:t xml:space="preserve">ore accepting </w:t>
      </w:r>
      <w:r w:rsidR="00C142BA">
        <w:t>the</w:t>
      </w:r>
      <w:r w:rsidR="00265D9E">
        <w:t xml:space="preserve"> guilty plea</w:t>
      </w:r>
      <w:r w:rsidR="002E25EC">
        <w:t xml:space="preserve">, eliminating yet </w:t>
      </w:r>
      <w:r w:rsidR="00265D9E">
        <w:t xml:space="preserve">another </w:t>
      </w:r>
      <w:r w:rsidR="008F7EBC">
        <w:t>meaningful check on prosecutorial discretion</w:t>
      </w:r>
      <w:r w:rsidR="00670562">
        <w:t>.</w:t>
      </w:r>
      <w:r w:rsidR="00461407">
        <w:t xml:space="preserve"> </w:t>
      </w:r>
      <w:r w:rsidR="009A0D4D">
        <w:t xml:space="preserve">Despite the requirement </w:t>
      </w:r>
      <w:r w:rsidR="002E25EC">
        <w:t>that</w:t>
      </w:r>
      <w:r w:rsidR="009A0D4D">
        <w:t xml:space="preserve"> judge</w:t>
      </w:r>
      <w:r w:rsidR="00E30AD0">
        <w:t>s</w:t>
      </w:r>
      <w:r w:rsidR="009A0D4D">
        <w:t xml:space="preserve"> </w:t>
      </w:r>
      <w:r w:rsidR="00E30AD0">
        <w:t>confirm</w:t>
      </w:r>
      <w:r w:rsidR="009A0D4D">
        <w:t xml:space="preserve"> that the defendant understands their rights and </w:t>
      </w:r>
      <w:r w:rsidR="00740094">
        <w:t>is voluntarily entering their plea</w:t>
      </w:r>
      <w:r w:rsidR="004C590A">
        <w:t xml:space="preserve"> without coercion</w:t>
      </w:r>
      <w:r w:rsidR="00740094">
        <w:t xml:space="preserve"> (which</w:t>
      </w:r>
      <w:r w:rsidR="004C590A">
        <w:t>,</w:t>
      </w:r>
      <w:r w:rsidR="00740094">
        <w:t xml:space="preserve"> as </w:t>
      </w:r>
      <w:r w:rsidR="00F77B68">
        <w:t>an ACLU staff attorney put it, “</w:t>
      </w:r>
      <w:r w:rsidR="00F77B68" w:rsidRPr="00F77B68">
        <w:t>is</w:t>
      </w:r>
      <w:r w:rsidR="00F77B68">
        <w:t xml:space="preserve"> [a]</w:t>
      </w:r>
      <w:r w:rsidR="00F77B68" w:rsidRPr="00F77B68">
        <w:t xml:space="preserve"> bit like asking the hostage if the kidnapper played fair while the hostage still has a gun to their head</w:t>
      </w:r>
      <w:r w:rsidR="00F77B68">
        <w:t>”</w:t>
      </w:r>
      <w:r w:rsidR="00626F57">
        <w:rPr>
          <w:rStyle w:val="EndnoteReference"/>
        </w:rPr>
        <w:endnoteReference w:id="33"/>
      </w:r>
      <w:r w:rsidR="00F77B68">
        <w:t>)</w:t>
      </w:r>
      <w:r w:rsidR="00B2745C">
        <w:t>, the vast majority of guilty pleas are accepted with minimal inquiry</w:t>
      </w:r>
      <w:r w:rsidR="00846FA3">
        <w:t xml:space="preserve">. Many legal scholars and </w:t>
      </w:r>
      <w:r w:rsidR="00C731A5">
        <w:t>attorneys</w:t>
      </w:r>
      <w:r w:rsidR="009D035B">
        <w:t xml:space="preserve"> point out that our system has created a form of</w:t>
      </w:r>
      <w:r w:rsidR="00C731A5">
        <w:t xml:space="preserve"> </w:t>
      </w:r>
      <w:r w:rsidR="009D69C9">
        <w:t>‘</w:t>
      </w:r>
      <w:r w:rsidR="00C731A5">
        <w:t>conveyor belt justice</w:t>
      </w:r>
      <w:r w:rsidR="009D69C9">
        <w:t>’</w:t>
      </w:r>
      <w:r w:rsidR="00C731A5">
        <w:t xml:space="preserve"> or</w:t>
      </w:r>
      <w:r w:rsidR="009D035B">
        <w:t xml:space="preserve">, commenting on the speed by which cases are </w:t>
      </w:r>
      <w:r w:rsidR="006102B2">
        <w:t>sent through the system,</w:t>
      </w:r>
      <w:r w:rsidR="00C731A5">
        <w:t xml:space="preserve"> “McJustice</w:t>
      </w:r>
      <w:r w:rsidR="00D367AD">
        <w:t>,</w:t>
      </w:r>
      <w:r w:rsidR="00C731A5">
        <w:t>”</w:t>
      </w:r>
      <w:r w:rsidR="00CA2C8F">
        <w:rPr>
          <w:rStyle w:val="EndnoteReference"/>
        </w:rPr>
        <w:endnoteReference w:id="34"/>
      </w:r>
      <w:r w:rsidR="00C731A5">
        <w:t xml:space="preserve"> </w:t>
      </w:r>
      <w:r w:rsidR="00D367AD">
        <w:t xml:space="preserve">where prosecutors can ‘have it their way’ at the expense of </w:t>
      </w:r>
      <w:r w:rsidR="0095278F">
        <w:t xml:space="preserve">meaningful adjudication on the merits. </w:t>
      </w:r>
    </w:p>
    <w:p w14:paraId="010726CB" w14:textId="6C893BF9" w:rsidR="00E0679D" w:rsidRPr="00E0679D" w:rsidRDefault="0060459F" w:rsidP="00C5284A">
      <w:pPr>
        <w:pStyle w:val="ListParagraph"/>
        <w:numPr>
          <w:ilvl w:val="0"/>
          <w:numId w:val="4"/>
        </w:numPr>
        <w:spacing w:after="0" w:line="480" w:lineRule="auto"/>
        <w:ind w:left="0" w:firstLine="0"/>
        <w:jc w:val="center"/>
        <w:rPr>
          <w:b/>
          <w:bCs/>
          <w:u w:val="single"/>
        </w:rPr>
      </w:pPr>
      <w:r w:rsidRPr="00E0679D">
        <w:rPr>
          <w:b/>
          <w:bCs/>
          <w:u w:val="single"/>
        </w:rPr>
        <w:t>Negative Effects of Plea Bargaining</w:t>
      </w:r>
    </w:p>
    <w:p w14:paraId="77E265D3" w14:textId="58BCECC1" w:rsidR="002B22C8" w:rsidRDefault="002B22C8" w:rsidP="00C5284A">
      <w:pPr>
        <w:spacing w:after="0" w:line="480" w:lineRule="auto"/>
        <w:ind w:firstLine="720"/>
        <w:jc w:val="both"/>
      </w:pPr>
      <w:r>
        <w:t xml:space="preserve">Our system’s focus on efficiency and embrace of ‘conveyor belt justice’ </w:t>
      </w:r>
      <w:r w:rsidR="00770C4D">
        <w:t>enhances</w:t>
      </w:r>
      <w:r>
        <w:t xml:space="preserve"> the </w:t>
      </w:r>
      <w:r w:rsidR="00770C4D">
        <w:t>possibility</w:t>
      </w:r>
      <w:r>
        <w:t xml:space="preserve"> that innocent defendants will be pressured to plead guilty. Indeed, </w:t>
      </w:r>
      <w:r w:rsidRPr="00F744B6">
        <w:t>N</w:t>
      </w:r>
      <w:r>
        <w:t xml:space="preserve">ew </w:t>
      </w:r>
      <w:r w:rsidRPr="00F744B6">
        <w:t>Y</w:t>
      </w:r>
      <w:r>
        <w:t>ork</w:t>
      </w:r>
      <w:r w:rsidRPr="00F744B6">
        <w:t xml:space="preserve"> judge Joseph Bellacosa has criticized the criminal legal system’s emphasis on efficiency as creating “[a] system of ‘meet ‘em,  greet ‘em, and plead ‘em’ . . . where overworked defense attorneys actually don’t even meet clients before disposition hearings” resulting in “a recipe for wrongful convictions.”</w:t>
      </w:r>
      <w:r>
        <w:rPr>
          <w:rStyle w:val="EndnoteReference"/>
        </w:rPr>
        <w:endnoteReference w:id="35"/>
      </w:r>
      <w:r w:rsidRPr="00F744B6">
        <w:t xml:space="preserve"> </w:t>
      </w:r>
      <w:r w:rsidR="0036790A">
        <w:t>Likewise, the CEO of the Association of Prosecuting Attorneys has said the misdemeanor plea system is a “dysfunctional” and “significant systemic malfunction</w:t>
      </w:r>
      <w:r w:rsidR="00B8721B">
        <w:t> . . . </w:t>
      </w:r>
      <w:r w:rsidR="0036790A">
        <w:t>which causes an inordinate amount of guilty pleas and threatens individuals, communities, [and] public trust in the judicial system.”</w:t>
      </w:r>
      <w:r w:rsidR="00B8721B">
        <w:rPr>
          <w:rStyle w:val="EndnoteReference"/>
        </w:rPr>
        <w:endnoteReference w:id="36"/>
      </w:r>
      <w:r w:rsidR="00807364">
        <w:t xml:space="preserve"> </w:t>
      </w:r>
      <w:r w:rsidR="003B5F48">
        <w:t xml:space="preserve">University of Chicago Law School </w:t>
      </w:r>
      <w:r w:rsidR="00345139">
        <w:t xml:space="preserve">Professor </w:t>
      </w:r>
      <w:r w:rsidR="00DD7500">
        <w:t xml:space="preserve">Albert Alschuler has </w:t>
      </w:r>
      <w:r w:rsidR="00DD7500">
        <w:lastRenderedPageBreak/>
        <w:t>gone so far as calling our plea bargaining process</w:t>
      </w:r>
      <w:r w:rsidR="00733849">
        <w:t>, focused on moving cases along as quickly as possible, “a nearly perfect system for convicting the innocent.”</w:t>
      </w:r>
      <w:r w:rsidR="003B5F48">
        <w:rPr>
          <w:rStyle w:val="EndnoteReference"/>
        </w:rPr>
        <w:endnoteReference w:id="37"/>
      </w:r>
      <w:r w:rsidR="00733849">
        <w:t xml:space="preserve"> </w:t>
      </w:r>
      <w:r w:rsidR="000445C7">
        <w:t xml:space="preserve">The following factual examples illustrate this point and highlight the </w:t>
      </w:r>
      <w:r w:rsidR="00CD0BE3">
        <w:t>enduring</w:t>
      </w:r>
      <w:r w:rsidR="00DA3694">
        <w:t xml:space="preserve"> consequences of </w:t>
      </w:r>
      <w:r w:rsidR="00490C2B">
        <w:t xml:space="preserve">accepting a plea for defendants who felt they had no other options. </w:t>
      </w:r>
    </w:p>
    <w:p w14:paraId="5A7342E0" w14:textId="1B492021" w:rsidR="008C5118" w:rsidRDefault="008C5118" w:rsidP="00C5284A">
      <w:pPr>
        <w:spacing w:after="0" w:line="480" w:lineRule="auto"/>
        <w:ind w:firstLine="720"/>
        <w:jc w:val="both"/>
      </w:pPr>
      <w:r>
        <w:t xml:space="preserve">Erma Faye Stewart is a Black single mother from Texas who, in 2000, was arrested along with </w:t>
      </w:r>
      <w:r w:rsidR="00E24D32">
        <w:t>twenty-six</w:t>
      </w:r>
      <w:r>
        <w:t xml:space="preserve"> others as part of a drug sweep.</w:t>
      </w:r>
      <w:r w:rsidR="00923317">
        <w:rPr>
          <w:rStyle w:val="EndnoteReference"/>
        </w:rPr>
        <w:endnoteReference w:id="38"/>
      </w:r>
      <w:r>
        <w:t xml:space="preserve"> Erma was not involved in any drug activity and proclaimed her innocence to her court-appointed attorney. After a week in jail spent worrying about her </w:t>
      </w:r>
      <w:r w:rsidR="003D4576">
        <w:t>young</w:t>
      </w:r>
      <w:r>
        <w:t xml:space="preserve"> children at home, Erma’s attorney urged her to take the prosecution’s offer of probation if she pled guilty to drug distribution. Erma refused and reaffirmed her innocence</w:t>
      </w:r>
      <w:r w:rsidR="00460C6F">
        <w:t>; but,</w:t>
      </w:r>
      <w:r>
        <w:t xml:space="preserve"> </w:t>
      </w:r>
      <w:r w:rsidR="00460C6F">
        <w:t>a</w:t>
      </w:r>
      <w:r>
        <w:t xml:space="preserve">fter almost a month in jail, Erma couldn’t stand being apart from her children any longer and agreed to the deal. She was sentenced to ten years probation and ordered to pay almost $2,000 in fines and court costs. She returned home to her children a convicted drug </w:t>
      </w:r>
      <w:r w:rsidR="00192898">
        <w:t>felon. She</w:t>
      </w:r>
      <w:r w:rsidR="0084180B">
        <w:t xml:space="preserve"> </w:t>
      </w:r>
      <w:r>
        <w:t xml:space="preserve">lost her food stamp eligibility as well as her ability to vote for at least </w:t>
      </w:r>
      <w:r w:rsidR="00E24D32">
        <w:t>twelve</w:t>
      </w:r>
      <w:r>
        <w:t xml:space="preserve"> years. Employers were free to discriminate against her</w:t>
      </w:r>
      <w:r w:rsidR="0084180B">
        <w:t xml:space="preserve"> because of her criminal record</w:t>
      </w:r>
      <w:r>
        <w:t xml:space="preserve"> and she was evicted from her public housing </w:t>
      </w:r>
      <w:r w:rsidR="00BB1AE9">
        <w:t xml:space="preserve">shortly thereafter </w:t>
      </w:r>
      <w:r>
        <w:t xml:space="preserve">because she couldn’t afford her rent. </w:t>
      </w:r>
    </w:p>
    <w:p w14:paraId="3AF950D3" w14:textId="382E5BBF" w:rsidR="003C6EDC" w:rsidRDefault="008C5118" w:rsidP="00C5284A">
      <w:pPr>
        <w:spacing w:after="0" w:line="480" w:lineRule="auto"/>
        <w:ind w:firstLine="720"/>
        <w:jc w:val="both"/>
      </w:pPr>
      <w:r>
        <w:t xml:space="preserve">Five months later, a judge dismissed all charges against the </w:t>
      </w:r>
      <w:r w:rsidR="00E24D32">
        <w:t>twenty</w:t>
      </w:r>
      <w:r>
        <w:t xml:space="preserve"> defendants who did not plead guilty, finding that the sweep was based on a lying informant. Meanwhile, Erma, who could afford neither bail nor to leave her children behind for five months, faced the lifelong consequences of a crime she didn’t commit. </w:t>
      </w:r>
    </w:p>
    <w:p w14:paraId="12D96BE3" w14:textId="46E3EE0C" w:rsidR="008C5118" w:rsidRPr="008007EA" w:rsidRDefault="00B76109" w:rsidP="00C5284A">
      <w:pPr>
        <w:spacing w:after="0" w:line="480" w:lineRule="auto"/>
        <w:ind w:firstLine="720"/>
        <w:jc w:val="both"/>
      </w:pPr>
      <w:r>
        <w:t xml:space="preserve">Unfortunately, Erma’s situation is not as rare as it </w:t>
      </w:r>
      <w:r w:rsidR="009F6232">
        <w:t>may sound</w:t>
      </w:r>
      <w:r>
        <w:t xml:space="preserve">. </w:t>
      </w:r>
      <w:r w:rsidR="000A363E">
        <w:t>Criminal d</w:t>
      </w:r>
      <w:r>
        <w:t>efendants</w:t>
      </w:r>
      <w:r w:rsidR="000A363E">
        <w:t>, particularly those unable to pay their pretrial bail</w:t>
      </w:r>
      <w:r w:rsidR="00D4275F">
        <w:t>,</w:t>
      </w:r>
      <w:r>
        <w:t xml:space="preserve"> are regularly encouraged </w:t>
      </w:r>
      <w:r w:rsidR="00D4275F">
        <w:t xml:space="preserve">by their defense counsel </w:t>
      </w:r>
      <w:r>
        <w:t xml:space="preserve">to plead guilty to offenses rather than go to trial, regardless of their innocence or the </w:t>
      </w:r>
      <w:r w:rsidR="003E637F">
        <w:t xml:space="preserve">weight of </w:t>
      </w:r>
      <w:r>
        <w:t xml:space="preserve">evidence </w:t>
      </w:r>
      <w:r w:rsidR="003E637F">
        <w:t xml:space="preserve">(if any) </w:t>
      </w:r>
      <w:r>
        <w:t>against them</w:t>
      </w:r>
      <w:r w:rsidR="00F85CD3" w:rsidRPr="008007EA">
        <w:t xml:space="preserve">. </w:t>
      </w:r>
      <w:r w:rsidR="003C6EDC" w:rsidRPr="008007EA">
        <w:t xml:space="preserve">In fact, studies indicate that defendants who are detained prior </w:t>
      </w:r>
      <w:r w:rsidR="003C6EDC" w:rsidRPr="008007EA">
        <w:lastRenderedPageBreak/>
        <w:t>to trial are “more likely to accept a plea and are less likely to have their charges dropped.”</w:t>
      </w:r>
      <w:r w:rsidR="003C6EDC" w:rsidRPr="008007EA">
        <w:rPr>
          <w:rStyle w:val="EndnoteReference"/>
        </w:rPr>
        <w:endnoteReference w:id="39"/>
      </w:r>
      <w:r w:rsidR="00082D8B">
        <w:t xml:space="preserve"> </w:t>
      </w:r>
      <w:r w:rsidR="00144F27">
        <w:t xml:space="preserve">Prosecutors </w:t>
      </w:r>
      <w:r w:rsidR="00556D02">
        <w:t>are aware of the desperation of these individuals and, unfortunately, many</w:t>
      </w:r>
      <w:r w:rsidR="0016263A">
        <w:t xml:space="preserve"> view the situation as an opportunity for an easy conviction. </w:t>
      </w:r>
      <w:r w:rsidR="008846EC">
        <w:t>Th</w:t>
      </w:r>
      <w:r w:rsidR="00DD6695">
        <w:t>eir weighty</w:t>
      </w:r>
      <w:r w:rsidR="00A25618">
        <w:t xml:space="preserve"> discretion </w:t>
      </w:r>
      <w:r w:rsidR="00DD6695">
        <w:t>may</w:t>
      </w:r>
      <w:r w:rsidR="00A25618">
        <w:t xml:space="preserve"> </w:t>
      </w:r>
      <w:r w:rsidR="00A32A85">
        <w:t xml:space="preserve">also </w:t>
      </w:r>
      <w:r w:rsidR="00A25618">
        <w:t>encourage</w:t>
      </w:r>
      <w:r w:rsidR="00DD6695">
        <w:t xml:space="preserve"> prosecutors </w:t>
      </w:r>
      <w:r w:rsidR="00A25618">
        <w:t xml:space="preserve">to </w:t>
      </w:r>
      <w:r w:rsidR="00587580">
        <w:t>charge case</w:t>
      </w:r>
      <w:r w:rsidR="00A32A85">
        <w:t>s</w:t>
      </w:r>
      <w:r w:rsidR="00587580">
        <w:t xml:space="preserve"> only marginally </w:t>
      </w:r>
      <w:r w:rsidR="00F94756">
        <w:t>satisf</w:t>
      </w:r>
      <w:r w:rsidR="00A32A85">
        <w:t>y</w:t>
      </w:r>
      <w:r w:rsidR="00DA076F">
        <w:t>ing</w:t>
      </w:r>
      <w:r w:rsidR="00F94756">
        <w:t xml:space="preserve"> probable cause </w:t>
      </w:r>
      <w:r w:rsidR="00C02116">
        <w:t xml:space="preserve">in the hopes of </w:t>
      </w:r>
      <w:r w:rsidR="00DA076F">
        <w:t>securing a plea deal and increasing their conviction numbers</w:t>
      </w:r>
      <w:r w:rsidR="006242A4">
        <w:t xml:space="preserve">, despite </w:t>
      </w:r>
      <w:r w:rsidR="008642E9">
        <w:t>a</w:t>
      </w:r>
      <w:r w:rsidR="006242A4">
        <w:t xml:space="preserve"> (total or virtual) lack of evidence</w:t>
      </w:r>
      <w:r w:rsidR="00DA076F">
        <w:t xml:space="preserve">. </w:t>
      </w:r>
    </w:p>
    <w:p w14:paraId="025B2A3E" w14:textId="25887B08" w:rsidR="00F53B2E" w:rsidRDefault="00C46295" w:rsidP="00C5284A">
      <w:pPr>
        <w:spacing w:after="0" w:line="480" w:lineRule="auto"/>
        <w:ind w:firstLine="720"/>
        <w:jc w:val="both"/>
      </w:pPr>
      <w:r w:rsidRPr="008007EA">
        <w:t xml:space="preserve">To understand the </w:t>
      </w:r>
      <w:r w:rsidR="001D4BBF" w:rsidRPr="008007EA">
        <w:t>realities for those who choose to exercise their Sixth Amendment</w:t>
      </w:r>
      <w:r w:rsidR="001D4BBF">
        <w:t xml:space="preserve"> right to go to trial</w:t>
      </w:r>
      <w:r w:rsidR="00936CC5">
        <w:t xml:space="preserve">, let’s look at </w:t>
      </w:r>
      <w:r w:rsidR="00BF505C">
        <w:t xml:space="preserve">Angel </w:t>
      </w:r>
      <w:r w:rsidR="00681B13">
        <w:t>Cardona</w:t>
      </w:r>
      <w:r w:rsidR="001D4BBF">
        <w:t xml:space="preserve">. </w:t>
      </w:r>
      <w:r w:rsidR="00BB190F">
        <w:t xml:space="preserve">In 2013, </w:t>
      </w:r>
      <w:r w:rsidR="001D4BBF">
        <w:t>Angel</w:t>
      </w:r>
      <w:r w:rsidR="00BB190F">
        <w:t>,</w:t>
      </w:r>
      <w:r w:rsidR="0004436C">
        <w:t xml:space="preserve"> </w:t>
      </w:r>
      <w:r w:rsidR="00BB190F">
        <w:t xml:space="preserve">a </w:t>
      </w:r>
      <w:r w:rsidR="0004436C">
        <w:t>high school</w:t>
      </w:r>
      <w:r w:rsidR="00144F27">
        <w:t xml:space="preserve"> student,</w:t>
      </w:r>
      <w:r w:rsidR="0004436C">
        <w:t xml:space="preserve"> was </w:t>
      </w:r>
      <w:r w:rsidR="00DF36B8">
        <w:t xml:space="preserve">arrested </w:t>
      </w:r>
      <w:r w:rsidR="00B443BA">
        <w:t xml:space="preserve">and given a noncriminal violation ticket for possession of </w:t>
      </w:r>
      <w:r w:rsidR="00CE36E8">
        <w:t>a small amount of marijuana</w:t>
      </w:r>
      <w:r w:rsidR="00B953C0">
        <w:t>.</w:t>
      </w:r>
      <w:r w:rsidR="00B953C0">
        <w:rPr>
          <w:rStyle w:val="EndnoteReference"/>
        </w:rPr>
        <w:endnoteReference w:id="40"/>
      </w:r>
      <w:r w:rsidR="00B5397F">
        <w:t xml:space="preserve"> </w:t>
      </w:r>
      <w:r w:rsidR="005144C5">
        <w:t>When Angel arrived with his mother for his arraignment,</w:t>
      </w:r>
      <w:r>
        <w:t xml:space="preserve"> he learned that </w:t>
      </w:r>
      <w:r w:rsidR="00034117">
        <w:t xml:space="preserve">he had been falsely accused of smoking the marijuana in public, a misdemeanor with possible jail time. </w:t>
      </w:r>
      <w:r w:rsidR="00813B1A">
        <w:t>Angel and his mother,</w:t>
      </w:r>
      <w:r w:rsidR="008C242E">
        <w:t xml:space="preserve"> furious at this misrepresentation and the potential </w:t>
      </w:r>
      <w:r w:rsidR="00092E36">
        <w:t xml:space="preserve">lifelong </w:t>
      </w:r>
      <w:r w:rsidR="008C242E">
        <w:t xml:space="preserve">consequences for the </w:t>
      </w:r>
      <w:r w:rsidR="00092E36">
        <w:t>young man</w:t>
      </w:r>
      <w:r w:rsidR="008C242E">
        <w:t xml:space="preserve">, </w:t>
      </w:r>
      <w:r w:rsidR="009078DA">
        <w:t>decide</w:t>
      </w:r>
      <w:r w:rsidR="0093046B">
        <w:t>d</w:t>
      </w:r>
      <w:r w:rsidR="009078DA">
        <w:t xml:space="preserve"> to fight the wrongful charge and take the case to trial. </w:t>
      </w:r>
      <w:r w:rsidR="00455B4F">
        <w:t>They attend</w:t>
      </w:r>
      <w:r w:rsidR="00654CAE">
        <w:t>ed</w:t>
      </w:r>
      <w:r w:rsidR="00455B4F">
        <w:t xml:space="preserve"> four hearings over the next ten months, requiring Angel to miss school and his after-school job, </w:t>
      </w:r>
      <w:r w:rsidR="00654CAE">
        <w:t>while his mother used vacation days to stand</w:t>
      </w:r>
      <w:r w:rsidR="00676D3E">
        <w:t xml:space="preserve"> beside her son and lend her support. </w:t>
      </w:r>
      <w:r w:rsidR="00D7687E">
        <w:t>A year after his arrest</w:t>
      </w:r>
      <w:r w:rsidR="0093046B">
        <w:t>,</w:t>
      </w:r>
      <w:r w:rsidR="00D7687E">
        <w:t xml:space="preserve"> </w:t>
      </w:r>
      <w:r w:rsidR="0093046B">
        <w:t>with</w:t>
      </w:r>
      <w:r w:rsidR="00F53B2E">
        <w:t xml:space="preserve"> </w:t>
      </w:r>
      <w:r w:rsidR="00AC3767">
        <w:t>no trial date</w:t>
      </w:r>
      <w:r w:rsidR="00F53B2E">
        <w:t xml:space="preserve"> in sight</w:t>
      </w:r>
      <w:r w:rsidR="00D7687E">
        <w:t xml:space="preserve">, </w:t>
      </w:r>
      <w:r w:rsidR="00DD521F">
        <w:t>Angel</w:t>
      </w:r>
      <w:r w:rsidR="00F53B2E">
        <w:t xml:space="preserve"> felt compelled to </w:t>
      </w:r>
      <w:r w:rsidR="00AC3767">
        <w:t xml:space="preserve">accept the prosecutor’s offer and </w:t>
      </w:r>
      <w:r w:rsidR="0022328F">
        <w:t>enter</w:t>
      </w:r>
      <w:r w:rsidR="00AC3767">
        <w:t>ed</w:t>
      </w:r>
      <w:r w:rsidR="0022328F">
        <w:t xml:space="preserve"> a guilty plea for</w:t>
      </w:r>
      <w:r w:rsidR="00CF3620">
        <w:t xml:space="preserve"> disorderly conduct</w:t>
      </w:r>
      <w:r w:rsidR="00AC3767">
        <w:t>, a</w:t>
      </w:r>
      <w:r w:rsidR="00A555D4">
        <w:t xml:space="preserve"> more serious offense than the one for which he was initially arrested. His mother had used up all her vacation days and the two could no</w:t>
      </w:r>
      <w:r w:rsidR="0019471E">
        <w:t xml:space="preserve">t </w:t>
      </w:r>
      <w:r w:rsidR="00A555D4">
        <w:t xml:space="preserve">afford </w:t>
      </w:r>
      <w:r w:rsidR="009A09E3">
        <w:t xml:space="preserve">to spend any more </w:t>
      </w:r>
      <w:r w:rsidR="0093046B">
        <w:t>unpaid days</w:t>
      </w:r>
      <w:r w:rsidR="009A09E3">
        <w:t xml:space="preserve"> in</w:t>
      </w:r>
      <w:r w:rsidR="00B67F9B">
        <w:t xml:space="preserve"> court</w:t>
      </w:r>
      <w:r w:rsidR="009A09E3">
        <w:t xml:space="preserve">. </w:t>
      </w:r>
    </w:p>
    <w:p w14:paraId="350263DD" w14:textId="19978B53" w:rsidR="007C790D" w:rsidRDefault="008C4FAD" w:rsidP="00C5284A">
      <w:pPr>
        <w:spacing w:after="0" w:line="480" w:lineRule="auto"/>
        <w:ind w:firstLine="720"/>
        <w:jc w:val="both"/>
      </w:pPr>
      <w:r>
        <w:t>Angel’s story</w:t>
      </w:r>
      <w:r w:rsidR="007C790D">
        <w:t xml:space="preserve"> demonstrates the disproportionate effects </w:t>
      </w:r>
      <w:r w:rsidR="00150E15">
        <w:t xml:space="preserve">the decision to go to trial </w:t>
      </w:r>
      <w:r w:rsidR="00B21D3E">
        <w:t xml:space="preserve">often </w:t>
      </w:r>
      <w:r w:rsidR="00AA3910">
        <w:t>ha</w:t>
      </w:r>
      <w:r w:rsidR="00150E15">
        <w:t>s</w:t>
      </w:r>
      <w:r w:rsidR="00AA3910">
        <w:t xml:space="preserve"> on </w:t>
      </w:r>
      <w:r w:rsidR="00150E15">
        <w:t>criminal defendants</w:t>
      </w:r>
      <w:r w:rsidR="00AA3910">
        <w:t xml:space="preserve"> lacking the financial means to </w:t>
      </w:r>
      <w:r w:rsidR="00150E15">
        <w:t xml:space="preserve">take </w:t>
      </w:r>
      <w:r w:rsidR="001C1C8D">
        <w:t>the time required to go to court over numerous months</w:t>
      </w:r>
      <w:r w:rsidR="00B21D3E">
        <w:t>,</w:t>
      </w:r>
      <w:r w:rsidR="001C1C8D">
        <w:t xml:space="preserve"> or even years</w:t>
      </w:r>
      <w:r w:rsidR="00C10D74">
        <w:t>. It also</w:t>
      </w:r>
      <w:r w:rsidR="00847194">
        <w:t xml:space="preserve"> </w:t>
      </w:r>
      <w:r w:rsidR="004A7E5B">
        <w:t>reveals the pressures that ultimately force</w:t>
      </w:r>
      <w:r w:rsidR="00847194">
        <w:t xml:space="preserve"> defendants </w:t>
      </w:r>
      <w:r w:rsidR="004A7E5B">
        <w:t>to accept</w:t>
      </w:r>
      <w:r w:rsidR="00847194">
        <w:t xml:space="preserve"> </w:t>
      </w:r>
      <w:r w:rsidR="00B969C0">
        <w:t>a prosecutor’s plea offer</w:t>
      </w:r>
      <w:r w:rsidR="004A7E5B">
        <w:t>, even</w:t>
      </w:r>
      <w:r w:rsidR="002D5F32">
        <w:t xml:space="preserve"> if they know they are innocent of the charge and will likely win </w:t>
      </w:r>
      <w:r w:rsidR="00082D8B">
        <w:t>at trial</w:t>
      </w:r>
      <w:r w:rsidR="00B969C0">
        <w:t xml:space="preserve">. </w:t>
      </w:r>
      <w:r w:rsidR="00F22CDC">
        <w:t>The unfortunate reality is</w:t>
      </w:r>
      <w:r w:rsidR="00981ADE">
        <w:t xml:space="preserve"> that “[b]ecause the pressures to plead guilty are omnipresent </w:t>
      </w:r>
      <w:r w:rsidR="00981ADE">
        <w:lastRenderedPageBreak/>
        <w:t>and the petty-offense process is huge, wrongful convictions probably occur hundreds of thousands of times a year.”</w:t>
      </w:r>
      <w:r w:rsidR="00B21D3E">
        <w:rPr>
          <w:rStyle w:val="EndnoteReference"/>
        </w:rPr>
        <w:endnoteReference w:id="41"/>
      </w:r>
    </w:p>
    <w:p w14:paraId="4BA95CB8" w14:textId="4ED7B459" w:rsidR="009760E7" w:rsidRDefault="00393502" w:rsidP="00C5284A">
      <w:pPr>
        <w:spacing w:after="0" w:line="480" w:lineRule="auto"/>
        <w:ind w:firstLine="720"/>
        <w:jc w:val="both"/>
      </w:pPr>
      <w:r>
        <w:rPr>
          <w:noProof/>
        </w:rPr>
        <mc:AlternateContent>
          <mc:Choice Requires="wpi">
            <w:drawing>
              <wp:anchor distT="0" distB="0" distL="114300" distR="114300" simplePos="0" relativeHeight="251659264" behindDoc="0" locked="0" layoutInCell="1" allowOverlap="1" wp14:anchorId="442E8C74" wp14:editId="18C2539E">
                <wp:simplePos x="0" y="0"/>
                <wp:positionH relativeFrom="column">
                  <wp:posOffset>7533619</wp:posOffset>
                </wp:positionH>
                <wp:positionV relativeFrom="paragraph">
                  <wp:posOffset>-857952</wp:posOffset>
                </wp:positionV>
                <wp:extent cx="265320" cy="2387880"/>
                <wp:effectExtent l="19050" t="38100" r="40005" b="317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265320" cy="2387880"/>
                      </w14:xfrm>
                    </w14:contentPart>
                  </a:graphicData>
                </a:graphic>
              </wp:anchor>
            </w:drawing>
          </mc:Choice>
          <mc:Fallback>
            <w:pict>
              <v:shapetype w14:anchorId="77F19F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92.85pt;margin-top:-67.9pt;width:21.6pt;height:188.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">
                <v:imagedata r:id="rId9" o:title=""/>
              </v:shape>
            </w:pict>
          </mc:Fallback>
        </mc:AlternateContent>
      </w:r>
      <w:r w:rsidR="00B77167">
        <w:t xml:space="preserve">In addition to </w:t>
      </w:r>
      <w:r w:rsidR="00F54FA8">
        <w:t xml:space="preserve">the influence of prosecutors and responsibilities </w:t>
      </w:r>
      <w:r w:rsidR="00BB63E9">
        <w:t>of</w:t>
      </w:r>
      <w:r w:rsidR="00F54FA8">
        <w:t xml:space="preserve"> the outside world, t</w:t>
      </w:r>
      <w:r w:rsidR="00656B1B">
        <w:t xml:space="preserve">hese pressures can come from the court itself, in the form of what legal scholars have termed a </w:t>
      </w:r>
      <w:r w:rsidR="005534AB">
        <w:t>‘</w:t>
      </w:r>
      <w:r w:rsidR="00656B1B">
        <w:t>trial penalty.</w:t>
      </w:r>
      <w:r w:rsidR="005534AB">
        <w:t>’</w:t>
      </w:r>
      <w:r w:rsidR="00656B1B">
        <w:t xml:space="preserve"> </w:t>
      </w:r>
      <w:r w:rsidR="00596452">
        <w:t xml:space="preserve">To </w:t>
      </w:r>
      <w:r w:rsidR="00B742EF">
        <w:t>gain</w:t>
      </w:r>
      <w:r w:rsidR="00596452">
        <w:t xml:space="preserve"> insight into this concerning phenomenon, </w:t>
      </w:r>
      <w:r w:rsidR="00B032E4">
        <w:t xml:space="preserve">ACLU staff attorneys partnered with </w:t>
      </w:r>
      <w:r w:rsidR="00FF119E">
        <w:t>the National Association of Criminal Defense Lawyers (NACDL)</w:t>
      </w:r>
      <w:r w:rsidR="00B032E4">
        <w:t xml:space="preserve"> to </w:t>
      </w:r>
      <w:r w:rsidR="00DB3CD9">
        <w:t xml:space="preserve">investigate the realities of trial penalties in South Carolina. The </w:t>
      </w:r>
      <w:r w:rsidR="00357E58">
        <w:t>attorneys</w:t>
      </w:r>
      <w:r w:rsidR="00490269">
        <w:t xml:space="preserve"> </w:t>
      </w:r>
      <w:r w:rsidR="0039737A">
        <w:t>“observed judges tell defendants—both in and out of custody—that if they wanted either a lawyer or a jury trial, their case would be delayed for some unknown period of time.</w:t>
      </w:r>
      <w:r w:rsidR="008A373B">
        <w:t>”</w:t>
      </w:r>
      <w:r w:rsidR="00B637FA" w:rsidRPr="00B637FA">
        <w:rPr>
          <w:rStyle w:val="EndnoteReference"/>
        </w:rPr>
        <w:t xml:space="preserve"> </w:t>
      </w:r>
      <w:r w:rsidR="00B637FA">
        <w:rPr>
          <w:rStyle w:val="EndnoteReference"/>
        </w:rPr>
        <w:endnoteReference w:id="42"/>
      </w:r>
      <w:r w:rsidR="0039737A">
        <w:t xml:space="preserve"> </w:t>
      </w:r>
      <w:r w:rsidR="00B637FA">
        <w:t>As one attorney put it, “[o]</w:t>
      </w:r>
      <w:r w:rsidR="0039737A">
        <w:t>ver and over again, we watched people make the coerced choice to give up their Sixth Amendment rights so they could get out of jail or avoid taking another unpaid day off work to come back to court</w:t>
      </w:r>
      <w:r w:rsidR="00357E58">
        <w:t>.</w:t>
      </w:r>
      <w:r w:rsidR="0039737A">
        <w:t>”</w:t>
      </w:r>
      <w:r w:rsidR="0021747F">
        <w:rPr>
          <w:rStyle w:val="EndnoteReference"/>
        </w:rPr>
        <w:endnoteReference w:id="43"/>
      </w:r>
      <w:r w:rsidR="006F7761">
        <w:t xml:space="preserve"> Prosecutors</w:t>
      </w:r>
      <w:r w:rsidR="00B742EF">
        <w:t xml:space="preserve"> </w:t>
      </w:r>
      <w:r w:rsidR="008262BC">
        <w:t>can use these trial penalties as yet another bargaining chip</w:t>
      </w:r>
      <w:r w:rsidR="00743BD1">
        <w:t xml:space="preserve"> </w:t>
      </w:r>
      <w:r w:rsidR="008262BC">
        <w:t xml:space="preserve">against a defendant </w:t>
      </w:r>
      <w:r w:rsidR="000F319F">
        <w:t>intent on exercising their right to trial</w:t>
      </w:r>
      <w:r w:rsidR="00DC2A92">
        <w:t>, but who could likely not afford to do so.</w:t>
      </w:r>
    </w:p>
    <w:p w14:paraId="710BE407" w14:textId="34E8CA7B" w:rsidR="005B0184" w:rsidRDefault="001D13AF" w:rsidP="00C5284A">
      <w:pPr>
        <w:spacing w:after="0" w:line="480" w:lineRule="auto"/>
        <w:jc w:val="both"/>
      </w:pPr>
      <w:r>
        <w:tab/>
      </w:r>
      <w:r w:rsidR="00473C6A">
        <w:t xml:space="preserve">What’s more, </w:t>
      </w:r>
      <w:r w:rsidR="00647A1E">
        <w:t>data continues to confirm significant racial biases in the plea bargaining process, resulting in the criminalization of poor and minority communities a</w:t>
      </w:r>
      <w:r w:rsidR="00B720D7">
        <w:t>t</w:t>
      </w:r>
      <w:r w:rsidR="00647A1E">
        <w:t xml:space="preserve"> staggering rates. </w:t>
      </w:r>
      <w:r w:rsidR="00A93AE2">
        <w:t xml:space="preserve">The majority of individuals in these communities </w:t>
      </w:r>
      <w:r w:rsidR="00C53503">
        <w:t>cannot afford private defense</w:t>
      </w:r>
      <w:r w:rsidR="006E4D7D">
        <w:t xml:space="preserve"> attorneys</w:t>
      </w:r>
      <w:r w:rsidR="00C53503">
        <w:t xml:space="preserve"> with time to review </w:t>
      </w:r>
      <w:r w:rsidR="00C674A2">
        <w:t xml:space="preserve">and discuss </w:t>
      </w:r>
      <w:r w:rsidR="00C53503">
        <w:t>the</w:t>
      </w:r>
      <w:r w:rsidR="00A93AE2">
        <w:t>ir</w:t>
      </w:r>
      <w:r w:rsidR="00C53503">
        <w:t xml:space="preserve"> case </w:t>
      </w:r>
      <w:r w:rsidR="0073508F">
        <w:t>prior to</w:t>
      </w:r>
      <w:r w:rsidR="00C53503">
        <w:t xml:space="preserve"> </w:t>
      </w:r>
      <w:r w:rsidR="00C674A2">
        <w:t xml:space="preserve">arraignment and </w:t>
      </w:r>
      <w:r w:rsidR="00C53503">
        <w:t>plea negotiations</w:t>
      </w:r>
      <w:r w:rsidR="0073508F">
        <w:t xml:space="preserve">. </w:t>
      </w:r>
      <w:r w:rsidR="00BE3F4F">
        <w:t xml:space="preserve">Rather, </w:t>
      </w:r>
      <w:r w:rsidR="00980AF1">
        <w:t>many</w:t>
      </w:r>
      <w:r w:rsidR="00BE3F4F">
        <w:t xml:space="preserve"> </w:t>
      </w:r>
      <w:r w:rsidR="00A0335C">
        <w:t>require</w:t>
      </w:r>
      <w:r w:rsidR="00BE3F4F">
        <w:t xml:space="preserve"> court-appointed defense attorneys</w:t>
      </w:r>
      <w:r w:rsidR="00D95185">
        <w:t>,</w:t>
      </w:r>
      <w:r w:rsidR="00BE3F4F">
        <w:t xml:space="preserve"> who tend to be </w:t>
      </w:r>
      <w:r w:rsidR="00BC33D2">
        <w:t xml:space="preserve">severely overloaded with cases and are </w:t>
      </w:r>
      <w:r w:rsidR="00BE0B49">
        <w:t>typically</w:t>
      </w:r>
      <w:r w:rsidR="00692AEE">
        <w:t xml:space="preserve"> </w:t>
      </w:r>
      <w:r w:rsidR="00BC33D2">
        <w:t>paid the same rate if the defendant pleads guilty or goes to trial</w:t>
      </w:r>
      <w:r w:rsidR="001A1FE9">
        <w:t>.</w:t>
      </w:r>
      <w:r w:rsidR="00EE75C4">
        <w:t xml:space="preserve"> </w:t>
      </w:r>
      <w:r w:rsidR="001A1FE9">
        <w:t>This</w:t>
      </w:r>
      <w:r w:rsidR="00EE75C4">
        <w:t xml:space="preserve"> </w:t>
      </w:r>
      <w:r w:rsidR="00AA790B">
        <w:t>arrangement</w:t>
      </w:r>
      <w:r w:rsidR="00EE75C4">
        <w:t xml:space="preserve"> </w:t>
      </w:r>
      <w:r w:rsidR="00BA2851">
        <w:t>frequently</w:t>
      </w:r>
      <w:r w:rsidR="00EE75C4">
        <w:t xml:space="preserve"> incentivizes </w:t>
      </w:r>
      <w:r w:rsidR="00BA2851">
        <w:t>public defenders</w:t>
      </w:r>
      <w:r w:rsidR="00BE0B49">
        <w:t xml:space="preserve"> </w:t>
      </w:r>
      <w:r w:rsidR="00BC33D2">
        <w:t>to</w:t>
      </w:r>
      <w:r w:rsidR="00BA2851">
        <w:t xml:space="preserve"> work with the prosecution to</w:t>
      </w:r>
      <w:r w:rsidR="00BC33D2">
        <w:t xml:space="preserve"> </w:t>
      </w:r>
      <w:r w:rsidR="00870D67">
        <w:t>negotiate plea deals quickly</w:t>
      </w:r>
      <w:r w:rsidR="001A1FE9">
        <w:t>, counsel their client to take the deal,</w:t>
      </w:r>
      <w:r w:rsidR="00870D67">
        <w:t xml:space="preserve"> and move on to </w:t>
      </w:r>
      <w:r w:rsidR="001A1FE9">
        <w:t>the next one</w:t>
      </w:r>
      <w:r w:rsidR="00BA2851">
        <w:t xml:space="preserve"> in the interest of time and money</w:t>
      </w:r>
      <w:r w:rsidR="00870D67">
        <w:t xml:space="preserve">. </w:t>
      </w:r>
    </w:p>
    <w:p w14:paraId="6AE94F5E" w14:textId="10057A27" w:rsidR="00681A90" w:rsidRDefault="009D4BA9" w:rsidP="00C5284A">
      <w:pPr>
        <w:spacing w:after="0" w:line="480" w:lineRule="auto"/>
        <w:ind w:firstLine="720"/>
        <w:jc w:val="both"/>
      </w:pPr>
      <w:r>
        <w:t xml:space="preserve">Implicit racial bias may also play a critical role in the recognized racial disparities. </w:t>
      </w:r>
      <w:r w:rsidR="00082006">
        <w:t xml:space="preserve">Even when </w:t>
      </w:r>
      <w:r w:rsidR="005B0184">
        <w:t xml:space="preserve">similarly situated </w:t>
      </w:r>
      <w:r w:rsidR="00082006">
        <w:t xml:space="preserve">white defendants are </w:t>
      </w:r>
      <w:r w:rsidR="005B0184">
        <w:t xml:space="preserve">represented by court-appointed counsel, they are still </w:t>
      </w:r>
      <w:r>
        <w:lastRenderedPageBreak/>
        <w:t xml:space="preserve">generally offered better plea deals than their </w:t>
      </w:r>
      <w:r w:rsidR="00A44397">
        <w:t>nonwhite</w:t>
      </w:r>
      <w:r>
        <w:t xml:space="preserve"> peers. </w:t>
      </w:r>
      <w:r w:rsidR="00870D67">
        <w:t>A 1991 study by the</w:t>
      </w:r>
      <w:r w:rsidR="00880B80">
        <w:t xml:space="preserve"> </w:t>
      </w:r>
      <w:r w:rsidR="00FA0BCE" w:rsidRPr="00880B80">
        <w:rPr>
          <w:i/>
          <w:iCs/>
        </w:rPr>
        <w:t>San Jose Mercury News</w:t>
      </w:r>
      <w:r w:rsidR="00FA0BCE" w:rsidRPr="00FA0BCE">
        <w:t xml:space="preserve"> looked at 700,000 criminal cases that “were matched by crime and criminal history for the defendant” and “revealed that similarly situated whites were far more successful than African Americans and Latinos in the plea bargaining process.”</w:t>
      </w:r>
      <w:r w:rsidR="00B53E8A">
        <w:rPr>
          <w:rStyle w:val="EndnoteReference"/>
        </w:rPr>
        <w:endnoteReference w:id="44"/>
      </w:r>
      <w:r w:rsidR="00B53E8A">
        <w:t xml:space="preserve"> </w:t>
      </w:r>
      <w:r w:rsidR="00FA0BCE" w:rsidRPr="00FA0BCE">
        <w:t>The study concluded that “at virtually every stage of pretrial negotiation, whites are more successful than nonwhites.”</w:t>
      </w:r>
      <w:r w:rsidR="00B53E8A">
        <w:rPr>
          <w:rStyle w:val="EndnoteReference"/>
        </w:rPr>
        <w:endnoteReference w:id="45"/>
      </w:r>
      <w:r w:rsidR="004D7F9C">
        <w:t xml:space="preserve"> </w:t>
      </w:r>
    </w:p>
    <w:p w14:paraId="60CD3110" w14:textId="6BE53D29" w:rsidR="009A7632" w:rsidRPr="009760E7" w:rsidRDefault="004D7F9C" w:rsidP="00C5284A">
      <w:pPr>
        <w:spacing w:after="0" w:line="480" w:lineRule="auto"/>
        <w:ind w:firstLine="720"/>
        <w:jc w:val="both"/>
      </w:pPr>
      <w:r>
        <w:t xml:space="preserve">More recently, </w:t>
      </w:r>
      <w:r w:rsidR="00F84C85">
        <w:t>a</w:t>
      </w:r>
      <w:r>
        <w:t xml:space="preserve"> 2018</w:t>
      </w:r>
      <w:r w:rsidR="00DA0E6D">
        <w:t xml:space="preserve"> </w:t>
      </w:r>
      <w:r w:rsidR="00835EA6">
        <w:t>empirical stud</w:t>
      </w:r>
      <w:r w:rsidR="00F84C85">
        <w:t>y</w:t>
      </w:r>
      <w:r w:rsidR="00835EA6">
        <w:t xml:space="preserve"> </w:t>
      </w:r>
      <w:r w:rsidR="0042439F">
        <w:t>confirmed</w:t>
      </w:r>
      <w:r w:rsidR="00835EA6">
        <w:t xml:space="preserve"> that </w:t>
      </w:r>
      <w:r w:rsidR="00283560">
        <w:t>“white defendants are over twenty-five percent more likely than black defendants to see their top charge dropped or reduced</w:t>
      </w:r>
      <w:r w:rsidR="00DE7409">
        <w:t>,</w:t>
      </w:r>
      <w:r w:rsidR="00283560">
        <w:t>”</w:t>
      </w:r>
      <w:r w:rsidR="00DE7409">
        <w:t xml:space="preserve"> when taking </w:t>
      </w:r>
      <w:r w:rsidR="003A2C5C">
        <w:t>all criminal charges (including felonies and misdemeanors)</w:t>
      </w:r>
      <w:r w:rsidR="00DE7409">
        <w:t xml:space="preserve"> into account</w:t>
      </w:r>
      <w:r w:rsidR="003A2C5C">
        <w:t>.</w:t>
      </w:r>
      <w:r w:rsidR="003A2C5C">
        <w:rPr>
          <w:rStyle w:val="EndnoteReference"/>
        </w:rPr>
        <w:endnoteReference w:id="46"/>
      </w:r>
      <w:r w:rsidR="003A2C5C">
        <w:t xml:space="preserve"> </w:t>
      </w:r>
      <w:r w:rsidR="0031406B">
        <w:t>Th</w:t>
      </w:r>
      <w:r w:rsidR="002221D7">
        <w:t xml:space="preserve">e racial </w:t>
      </w:r>
      <w:r w:rsidR="0031406B">
        <w:t xml:space="preserve">inequality </w:t>
      </w:r>
      <w:r w:rsidR="004F674E">
        <w:t xml:space="preserve">is even more stark when one focuses exclusively on misdemeanors. </w:t>
      </w:r>
      <w:r w:rsidR="005C47D8">
        <w:t>The study found that</w:t>
      </w:r>
      <w:r w:rsidR="004F674E">
        <w:t xml:space="preserve"> </w:t>
      </w:r>
      <w:r w:rsidR="005C47D8">
        <w:t>“</w:t>
      </w:r>
      <w:r w:rsidR="00975DB2" w:rsidRPr="005B4B28">
        <w:t>white defendants are 74.72% more likely than black defendants to see all misdemeanor charges carrying a potential imprisonment sentence dropped, dismissed or amended to lesser charges</w:t>
      </w:r>
      <w:r w:rsidR="006D1A36">
        <w:t>.”</w:t>
      </w:r>
      <w:r w:rsidR="006D1A36">
        <w:rPr>
          <w:rStyle w:val="EndnoteReference"/>
        </w:rPr>
        <w:endnoteReference w:id="47"/>
      </w:r>
      <w:r w:rsidR="00FD212F">
        <w:t xml:space="preserve"> These studies illustrate that </w:t>
      </w:r>
      <w:r w:rsidR="00787B2D">
        <w:t>when</w:t>
      </w:r>
      <w:r w:rsidR="00FD212F">
        <w:t xml:space="preserve"> address</w:t>
      </w:r>
      <w:r w:rsidR="00787B2D">
        <w:t>ing</w:t>
      </w:r>
      <w:r w:rsidR="00FD212F">
        <w:t xml:space="preserve"> systemic racial injustices embedded</w:t>
      </w:r>
      <w:r w:rsidR="00787B2D">
        <w:t xml:space="preserve"> in our criminal legal system, plea bargaining may be </w:t>
      </w:r>
      <w:r w:rsidR="008D2A68">
        <w:t xml:space="preserve">the best place to start. </w:t>
      </w:r>
    </w:p>
    <w:p w14:paraId="54E39A67" w14:textId="2AE6022E" w:rsidR="00333359" w:rsidRPr="00E0679D" w:rsidRDefault="0032064F" w:rsidP="00F43B3E">
      <w:pPr>
        <w:pStyle w:val="ListParagraph"/>
        <w:numPr>
          <w:ilvl w:val="0"/>
          <w:numId w:val="4"/>
        </w:numPr>
        <w:spacing w:after="0" w:line="480" w:lineRule="auto"/>
        <w:ind w:left="0" w:firstLine="0"/>
        <w:jc w:val="center"/>
        <w:rPr>
          <w:b/>
          <w:bCs/>
          <w:u w:val="single"/>
        </w:rPr>
      </w:pPr>
      <w:r w:rsidRPr="00E0679D">
        <w:rPr>
          <w:b/>
          <w:bCs/>
          <w:u w:val="single"/>
        </w:rPr>
        <w:t xml:space="preserve">Plea Bargaining </w:t>
      </w:r>
      <w:r w:rsidR="002E2C20" w:rsidRPr="00E0679D">
        <w:rPr>
          <w:b/>
          <w:bCs/>
          <w:u w:val="single"/>
        </w:rPr>
        <w:t>in</w:t>
      </w:r>
      <w:r w:rsidRPr="00E0679D">
        <w:rPr>
          <w:b/>
          <w:bCs/>
          <w:u w:val="single"/>
        </w:rPr>
        <w:t xml:space="preserve"> Vermont</w:t>
      </w:r>
    </w:p>
    <w:p w14:paraId="2F8240B5" w14:textId="7A0C2688" w:rsidR="00B53604" w:rsidRDefault="00333359" w:rsidP="00C5284A">
      <w:pPr>
        <w:spacing w:after="0" w:line="480" w:lineRule="auto"/>
        <w:jc w:val="both"/>
      </w:pPr>
      <w:r>
        <w:tab/>
      </w:r>
      <w:r w:rsidR="005B374C">
        <w:t xml:space="preserve">Vermont is no outlier in the U.S. as far as its reliance on plea bargaining goes. </w:t>
      </w:r>
      <w:r>
        <w:t>According to</w:t>
      </w:r>
      <w:r w:rsidR="00994138">
        <w:t xml:space="preserve"> the FY19 Vermont Judiciary Annual Report, </w:t>
      </w:r>
      <w:r w:rsidR="00286587">
        <w:t>“</w:t>
      </w:r>
      <w:r w:rsidR="0065167D">
        <w:t>[n]</w:t>
      </w:r>
      <w:r w:rsidR="00286587">
        <w:t>early all criminal cases in Vermont resolve either by plea bargain or by dismissal.”</w:t>
      </w:r>
      <w:r w:rsidR="0065167D" w:rsidRPr="0065167D">
        <w:rPr>
          <w:rStyle w:val="EndnoteReference"/>
        </w:rPr>
        <w:t xml:space="preserve"> </w:t>
      </w:r>
      <w:r w:rsidR="0065167D">
        <w:rPr>
          <w:rStyle w:val="EndnoteReference"/>
        </w:rPr>
        <w:endnoteReference w:id="48"/>
      </w:r>
      <w:r w:rsidR="0065167D">
        <w:t xml:space="preserve"> Indeed,</w:t>
      </w:r>
      <w:r w:rsidR="00286587">
        <w:t xml:space="preserve"> </w:t>
      </w:r>
      <w:r w:rsidR="006A58E0">
        <w:t>97</w:t>
      </w:r>
      <w:r w:rsidR="00666F33">
        <w:t>.15</w:t>
      </w:r>
      <w:r w:rsidR="006A58E0">
        <w:t xml:space="preserve">% of </w:t>
      </w:r>
      <w:r w:rsidR="00F06DFA">
        <w:t xml:space="preserve">Vermont </w:t>
      </w:r>
      <w:r w:rsidR="00EA0522">
        <w:t xml:space="preserve">criminal misdemeanors </w:t>
      </w:r>
      <w:r w:rsidR="006A58E0">
        <w:t xml:space="preserve">convictions </w:t>
      </w:r>
      <w:r w:rsidR="00F06DFA">
        <w:t>resulted from</w:t>
      </w:r>
      <w:r w:rsidR="006A58E0">
        <w:t xml:space="preserve"> guilty plea</w:t>
      </w:r>
      <w:r w:rsidR="00F06DFA">
        <w:t>s</w:t>
      </w:r>
      <w:r w:rsidR="00DC0DD2">
        <w:t xml:space="preserve">, while </w:t>
      </w:r>
      <w:r w:rsidR="00A2570E">
        <w:t xml:space="preserve">a mere </w:t>
      </w:r>
      <w:r w:rsidR="00F06DFA">
        <w:t>0.5</w:t>
      </w:r>
      <w:r w:rsidR="00A2570E">
        <w:t>4</w:t>
      </w:r>
      <w:r w:rsidR="00F06DFA">
        <w:t xml:space="preserve">% </w:t>
      </w:r>
      <w:r w:rsidR="000B231D">
        <w:t>– or 32 cases – were</w:t>
      </w:r>
      <w:r w:rsidR="00312DD8">
        <w:t xml:space="preserve"> resolved by jury trials.</w:t>
      </w:r>
      <w:r w:rsidR="00056107">
        <w:rPr>
          <w:rStyle w:val="EndnoteReference"/>
        </w:rPr>
        <w:endnoteReference w:id="49"/>
      </w:r>
      <w:r w:rsidR="009400B9">
        <w:t xml:space="preserve"> These numbers are only slightly </w:t>
      </w:r>
      <w:r w:rsidR="007B084D">
        <w:t xml:space="preserve">improved for felony criminal convictions, </w:t>
      </w:r>
      <w:r w:rsidR="00666F33">
        <w:t xml:space="preserve">as the data shows that </w:t>
      </w:r>
      <w:r w:rsidR="00CA1677">
        <w:t>94.86%  resulted from guilty pleas</w:t>
      </w:r>
      <w:r w:rsidR="00EB3242">
        <w:t>, whereas 2.97%</w:t>
      </w:r>
      <w:r w:rsidR="006B51AF">
        <w:t xml:space="preserve"> were resolved by jury trial.</w:t>
      </w:r>
      <w:r w:rsidR="0082620E">
        <w:rPr>
          <w:rStyle w:val="EndnoteReference"/>
        </w:rPr>
        <w:endnoteReference w:id="50"/>
      </w:r>
    </w:p>
    <w:p w14:paraId="2B5A8443" w14:textId="5A1F8836" w:rsidR="00623D7D" w:rsidRDefault="00623D7D" w:rsidP="00C5284A">
      <w:pPr>
        <w:spacing w:after="0" w:line="480" w:lineRule="auto"/>
        <w:jc w:val="both"/>
      </w:pPr>
      <w:r>
        <w:tab/>
        <w:t xml:space="preserve">The racial disparities discussed above are also a reality in Vermont. As of 2016, </w:t>
      </w:r>
      <w:r w:rsidR="00FB6A0D">
        <w:t xml:space="preserve">Vermont </w:t>
      </w:r>
      <w:r w:rsidR="00DD35CF">
        <w:t>had</w:t>
      </w:r>
      <w:r w:rsidR="00FB6A0D">
        <w:t xml:space="preserve"> the highest </w:t>
      </w:r>
      <w:r w:rsidR="00A01397">
        <w:t>racial disparity</w:t>
      </w:r>
      <w:r w:rsidR="007F1235">
        <w:t xml:space="preserve"> of incarceration</w:t>
      </w:r>
      <w:r w:rsidR="00A01397">
        <w:t xml:space="preserve"> in the nation with one in fourteen </w:t>
      </w:r>
      <w:r w:rsidR="00670F34">
        <w:t xml:space="preserve">of all Black </w:t>
      </w:r>
      <w:r w:rsidR="007D5BD0">
        <w:t xml:space="preserve">male </w:t>
      </w:r>
      <w:r w:rsidR="007D5BD0">
        <w:lastRenderedPageBreak/>
        <w:t>Vermonters over the age of 18</w:t>
      </w:r>
      <w:r w:rsidR="00670F34">
        <w:t xml:space="preserve"> in state prison.</w:t>
      </w:r>
      <w:r w:rsidR="00AA15BA">
        <w:rPr>
          <w:rStyle w:val="EndnoteReference"/>
        </w:rPr>
        <w:endnoteReference w:id="51"/>
      </w:r>
      <w:r w:rsidR="00C91C51">
        <w:t xml:space="preserve"> </w:t>
      </w:r>
      <w:r w:rsidR="009B0A3A">
        <w:t xml:space="preserve">Whites, meanwhile, remain underrepresented in Vermont prisons and jails, despite </w:t>
      </w:r>
      <w:r w:rsidR="005E5250">
        <w:t>their making up approximately 94% of our population.</w:t>
      </w:r>
      <w:r w:rsidR="005E5250">
        <w:rPr>
          <w:rStyle w:val="EndnoteReference"/>
        </w:rPr>
        <w:endnoteReference w:id="52"/>
      </w:r>
      <w:r w:rsidR="00C91C51">
        <w:t xml:space="preserve"> </w:t>
      </w:r>
    </w:p>
    <w:p w14:paraId="55A88C59" w14:textId="03FBCD60" w:rsidR="002D798F" w:rsidRDefault="002D798F" w:rsidP="00C5284A">
      <w:pPr>
        <w:spacing w:after="0" w:line="480" w:lineRule="auto"/>
        <w:jc w:val="both"/>
      </w:pPr>
      <w:r>
        <w:rPr>
          <w:b/>
          <w:bCs/>
        </w:rPr>
        <w:tab/>
      </w:r>
      <w:r w:rsidR="00213888">
        <w:t xml:space="preserve">That said, Vermont does have some statewide and </w:t>
      </w:r>
      <w:r w:rsidR="00477A2F">
        <w:t xml:space="preserve">county-specific policies </w:t>
      </w:r>
      <w:r w:rsidR="004E5B46">
        <w:t>intended</w:t>
      </w:r>
      <w:r w:rsidR="00477A2F">
        <w:t xml:space="preserve"> to even the plea bargaining playing field</w:t>
      </w:r>
      <w:r w:rsidR="000C0F9B">
        <w:t xml:space="preserve"> and, hopefully, address these disparities</w:t>
      </w:r>
      <w:r w:rsidR="004E5B46">
        <w:t xml:space="preserve">. </w:t>
      </w:r>
      <w:r w:rsidR="004654DB">
        <w:t xml:space="preserve">Pursuant to </w:t>
      </w:r>
      <w:r w:rsidR="009C3FE0">
        <w:t>13 V.S.A. §</w:t>
      </w:r>
      <w:r w:rsidR="00F11576">
        <w:t> </w:t>
      </w:r>
      <w:r w:rsidR="009C3FE0">
        <w:t>8004, t</w:t>
      </w:r>
      <w:r w:rsidR="0079636E">
        <w:t xml:space="preserve">he state </w:t>
      </w:r>
      <w:r w:rsidR="00467B6E">
        <w:t xml:space="preserve">has compiled all </w:t>
      </w:r>
      <w:r w:rsidR="0073596E">
        <w:t>potential</w:t>
      </w:r>
      <w:r w:rsidR="00467B6E">
        <w:t xml:space="preserve"> </w:t>
      </w:r>
      <w:r w:rsidR="00155B10">
        <w:t>c</w:t>
      </w:r>
      <w:r w:rsidR="00467B6E">
        <w:t xml:space="preserve">ollateral </w:t>
      </w:r>
      <w:r w:rsidR="00155B10">
        <w:t>c</w:t>
      </w:r>
      <w:r w:rsidR="00467B6E">
        <w:t xml:space="preserve">onsequences of </w:t>
      </w:r>
      <w:r w:rsidR="00155B10">
        <w:t>a criminal conviction into a searchable database</w:t>
      </w:r>
      <w:r w:rsidR="0073596E">
        <w:t xml:space="preserve">, giving defendants more information about </w:t>
      </w:r>
      <w:r w:rsidR="00314273">
        <w:t xml:space="preserve">how a guilty plea may or may not affect their </w:t>
      </w:r>
      <w:r w:rsidR="00836DA6">
        <w:t>lives</w:t>
      </w:r>
      <w:r w:rsidR="00314273">
        <w:t xml:space="preserve"> in the long run.</w:t>
      </w:r>
      <w:r w:rsidR="00314273">
        <w:rPr>
          <w:rStyle w:val="EndnoteReference"/>
        </w:rPr>
        <w:endnoteReference w:id="53"/>
      </w:r>
      <w:r w:rsidR="00314273">
        <w:t xml:space="preserve"> </w:t>
      </w:r>
      <w:r w:rsidR="007C4F02">
        <w:t>The site is maintained by the Office of the Vermont Attorney General</w:t>
      </w:r>
      <w:r w:rsidR="00CE19C3">
        <w:t xml:space="preserve"> and informed by</w:t>
      </w:r>
      <w:r w:rsidR="00CE19C3" w:rsidRPr="00CE19C3">
        <w:t xml:space="preserve"> the Collateral Consequences Resource Center (CCRC)</w:t>
      </w:r>
      <w:r w:rsidR="00CE19C3">
        <w:t>.</w:t>
      </w:r>
      <w:r w:rsidR="00CE19C3">
        <w:rPr>
          <w:rStyle w:val="EndnoteReference"/>
        </w:rPr>
        <w:endnoteReference w:id="54"/>
      </w:r>
      <w:r w:rsidR="008D4E1A">
        <w:t xml:space="preserve"> </w:t>
      </w:r>
      <w:r w:rsidR="00020382">
        <w:t xml:space="preserve">This resource </w:t>
      </w:r>
      <w:r w:rsidR="006509F1">
        <w:t xml:space="preserve">informs defendants about potential </w:t>
      </w:r>
      <w:r w:rsidR="008716B5">
        <w:t xml:space="preserve">long-term </w:t>
      </w:r>
      <w:r w:rsidR="006509F1">
        <w:t xml:space="preserve">effects of accepting a plea and </w:t>
      </w:r>
      <w:r w:rsidR="00B706EE">
        <w:t xml:space="preserve">helps minimize the </w:t>
      </w:r>
      <w:r w:rsidR="00F92D3B">
        <w:t>risk</w:t>
      </w:r>
      <w:r w:rsidR="00B706EE">
        <w:t xml:space="preserve"> of a </w:t>
      </w:r>
      <w:r w:rsidR="00F92D3B">
        <w:t xml:space="preserve">prosecutor persuading a </w:t>
      </w:r>
      <w:r w:rsidR="00B706EE">
        <w:t xml:space="preserve">defendant to accept a plea deal by </w:t>
      </w:r>
      <w:r w:rsidR="00F04B06">
        <w:t>fail</w:t>
      </w:r>
      <w:r w:rsidR="00F92D3B">
        <w:t xml:space="preserve">ing </w:t>
      </w:r>
      <w:r w:rsidR="00F04B06">
        <w:t>to disclose</w:t>
      </w:r>
      <w:r w:rsidR="00204FB8">
        <w:t xml:space="preserve"> relevant</w:t>
      </w:r>
      <w:r w:rsidR="00F04B06">
        <w:t xml:space="preserve"> collateral consequences. </w:t>
      </w:r>
    </w:p>
    <w:p w14:paraId="2397BB71" w14:textId="5B3C2C4B" w:rsidR="002B7C1F" w:rsidRDefault="00F04B06" w:rsidP="00C5284A">
      <w:pPr>
        <w:spacing w:after="0" w:line="480" w:lineRule="auto"/>
        <w:jc w:val="both"/>
      </w:pPr>
      <w:r>
        <w:tab/>
      </w:r>
      <w:r w:rsidR="00906A58">
        <w:t xml:space="preserve">Additionally, certain Vermont counties have implemented </w:t>
      </w:r>
      <w:r w:rsidR="00A02D02">
        <w:t xml:space="preserve">a number of </w:t>
      </w:r>
      <w:r w:rsidR="00527D40">
        <w:t>policies to address</w:t>
      </w:r>
      <w:r w:rsidR="00EB48E2">
        <w:t xml:space="preserve"> </w:t>
      </w:r>
      <w:r w:rsidR="00527D40">
        <w:t>the power imbalance between prosecutors and criminal defendants (and their counsel)</w:t>
      </w:r>
      <w:r w:rsidR="00EB48E2">
        <w:t xml:space="preserve">. </w:t>
      </w:r>
      <w:r w:rsidR="00744BF7">
        <w:t xml:space="preserve">In September 2020, the Chittenden County State’s Attorney, Sarah George, </w:t>
      </w:r>
      <w:r w:rsidR="00527724">
        <w:t xml:space="preserve">announced </w:t>
      </w:r>
      <w:r w:rsidR="00F651CE">
        <w:t xml:space="preserve">that her jurisdiction would no longer seek cash bail for defendants, reserving the right to </w:t>
      </w:r>
      <w:r w:rsidR="00AE6C17">
        <w:t>seek detention without bail for limited violent offenses if the defendant poses a risk of flight.</w:t>
      </w:r>
      <w:r w:rsidR="00AE6C17">
        <w:rPr>
          <w:rStyle w:val="EndnoteReference"/>
        </w:rPr>
        <w:endnoteReference w:id="55"/>
      </w:r>
      <w:r w:rsidR="001277EA">
        <w:t xml:space="preserve"> </w:t>
      </w:r>
      <w:r w:rsidR="00772D67">
        <w:t>Recognizing th</w:t>
      </w:r>
      <w:r w:rsidR="002D49D8">
        <w:t xml:space="preserve">at the </w:t>
      </w:r>
      <w:r w:rsidR="001A2445">
        <w:t>cash bail system allow</w:t>
      </w:r>
      <w:r w:rsidR="0093793B">
        <w:t>s</w:t>
      </w:r>
      <w:r w:rsidR="00FD6495">
        <w:t xml:space="preserve"> </w:t>
      </w:r>
      <w:r w:rsidR="0093793B">
        <w:t>more</w:t>
      </w:r>
      <w:r w:rsidR="00FD6495">
        <w:t xml:space="preserve"> opportunities for wealthier defendants</w:t>
      </w:r>
      <w:r w:rsidR="0093793B">
        <w:t>, George said, “</w:t>
      </w:r>
      <w:r w:rsidR="00DC537B">
        <w:t>[w]</w:t>
      </w:r>
      <w:r w:rsidR="00DC537B" w:rsidRPr="00DC537B">
        <w:t>e will no longer be a part of putting a price tag on freedom and criminalizing poverty</w:t>
      </w:r>
      <w:r w:rsidR="00DC537B">
        <w:t>.”</w:t>
      </w:r>
      <w:r w:rsidR="00DC537B">
        <w:rPr>
          <w:rStyle w:val="EndnoteReference"/>
        </w:rPr>
        <w:endnoteReference w:id="56"/>
      </w:r>
      <w:r w:rsidR="00273627">
        <w:t xml:space="preserve"> As a result, the majority of criminal defendants in Chittenden </w:t>
      </w:r>
      <w:r w:rsidR="002F3F0C">
        <w:t>C</w:t>
      </w:r>
      <w:r w:rsidR="00273627">
        <w:t xml:space="preserve">ounty will </w:t>
      </w:r>
      <w:r w:rsidR="00256F70">
        <w:t xml:space="preserve">be released pre-trial, allowing them more time to meet with </w:t>
      </w:r>
      <w:r w:rsidR="00A323AF">
        <w:t>legal counsel</w:t>
      </w:r>
      <w:r w:rsidR="00256F70">
        <w:t xml:space="preserve"> to discuss the case and their options</w:t>
      </w:r>
      <w:r w:rsidR="00AC64A3">
        <w:t xml:space="preserve">. </w:t>
      </w:r>
      <w:r w:rsidR="004356B6">
        <w:t>Non-detained de</w:t>
      </w:r>
      <w:r w:rsidR="00141413">
        <w:t xml:space="preserve">fendants are also generally less desperate to take a plea in exchange for their release, </w:t>
      </w:r>
      <w:r w:rsidR="002F3F0C">
        <w:t>which may reduce the number of innocent defendants pleading guilty in the county</w:t>
      </w:r>
      <w:r w:rsidR="002B7C1F">
        <w:t xml:space="preserve"> as a result of this new policy. </w:t>
      </w:r>
      <w:r w:rsidR="00CD279A">
        <w:t xml:space="preserve">Should a criminal defendant be held without bail due to the nature of the crime and increased risk of flight, </w:t>
      </w:r>
      <w:r w:rsidR="00CD279A">
        <w:lastRenderedPageBreak/>
        <w:t xml:space="preserve">a pretrial hearing </w:t>
      </w:r>
      <w:r w:rsidR="00D95D41">
        <w:t xml:space="preserve">is required to confirm that there is sufficient probable cause, minimizing the risk </w:t>
      </w:r>
      <w:r w:rsidR="00820FF6">
        <w:t xml:space="preserve">that prosecutors are </w:t>
      </w:r>
      <w:r w:rsidR="00982D98">
        <w:t xml:space="preserve">asking for </w:t>
      </w:r>
      <w:r w:rsidR="00820FF6">
        <w:t>det</w:t>
      </w:r>
      <w:r w:rsidR="00982D98">
        <w:t>ention of criminal</w:t>
      </w:r>
      <w:r w:rsidR="00820FF6">
        <w:t xml:space="preserve"> defendants as a plea bargaining strategy. </w:t>
      </w:r>
    </w:p>
    <w:p w14:paraId="4B36A8B5" w14:textId="7D826B7F" w:rsidR="00F04B06" w:rsidRDefault="002B7C1F" w:rsidP="00C5284A">
      <w:pPr>
        <w:spacing w:after="0" w:line="480" w:lineRule="auto"/>
        <w:jc w:val="both"/>
      </w:pPr>
      <w:r>
        <w:tab/>
      </w:r>
      <w:r w:rsidR="002F3F0C">
        <w:t xml:space="preserve"> </w:t>
      </w:r>
      <w:r w:rsidR="00E72E75">
        <w:t xml:space="preserve">The </w:t>
      </w:r>
      <w:r>
        <w:t xml:space="preserve">Chittenden County </w:t>
      </w:r>
      <w:r w:rsidR="00E72E75">
        <w:t>State’s Attorney’s office is</w:t>
      </w:r>
      <w:r>
        <w:t xml:space="preserve"> also unique </w:t>
      </w:r>
      <w:r w:rsidR="00E72E75">
        <w:t>because its</w:t>
      </w:r>
      <w:r w:rsidR="00426B1E">
        <w:t xml:space="preserve"> internal polic</w:t>
      </w:r>
      <w:r w:rsidR="00BC4E48">
        <w:t>ies</w:t>
      </w:r>
      <w:r w:rsidR="00426B1E">
        <w:t xml:space="preserve"> require</w:t>
      </w:r>
      <w:r w:rsidR="00DB6351">
        <w:t xml:space="preserve"> </w:t>
      </w:r>
      <w:r w:rsidR="00B33087">
        <w:t xml:space="preserve">that </w:t>
      </w:r>
      <w:r w:rsidR="00E72E75">
        <w:t>prosecutors</w:t>
      </w:r>
      <w:r w:rsidR="00426B1E">
        <w:t xml:space="preserve"> </w:t>
      </w:r>
      <w:r w:rsidR="00B33087">
        <w:t>base their charging on whether the</w:t>
      </w:r>
      <w:r w:rsidR="0037049F">
        <w:t xml:space="preserve"> available</w:t>
      </w:r>
      <w:r w:rsidR="000D371B">
        <w:t xml:space="preserve"> evidence </w:t>
      </w:r>
      <w:r w:rsidR="00AD6554">
        <w:t>suggests</w:t>
      </w:r>
      <w:r w:rsidR="00B33087">
        <w:t xml:space="preserve"> </w:t>
      </w:r>
      <w:r w:rsidR="00426B1E">
        <w:t xml:space="preserve">guilt beyond a reasonable doubt, instead of the significantly lower bar of </w:t>
      </w:r>
      <w:r w:rsidR="00DB6351">
        <w:t xml:space="preserve">probable cause embraced by most </w:t>
      </w:r>
      <w:r w:rsidR="0002461E">
        <w:t>prosecutors’</w:t>
      </w:r>
      <w:r w:rsidR="00DB6351">
        <w:t xml:space="preserve"> offices across the country. </w:t>
      </w:r>
      <w:r w:rsidR="004E5275">
        <w:t xml:space="preserve">This </w:t>
      </w:r>
      <w:r w:rsidR="009F4B7C">
        <w:t>heightened</w:t>
      </w:r>
      <w:r w:rsidR="004E5275">
        <w:t xml:space="preserve"> burden of proof </w:t>
      </w:r>
      <w:r w:rsidR="002C6F3D">
        <w:t>requires more careful analysis of the facts and evidence available to the prosecution before charging an individual with a criminal offense</w:t>
      </w:r>
      <w:r w:rsidR="00BC4E48">
        <w:t>,</w:t>
      </w:r>
      <w:r w:rsidR="001C2BA4">
        <w:t xml:space="preserve"> </w:t>
      </w:r>
      <w:r w:rsidR="00724B10">
        <w:t>discourag</w:t>
      </w:r>
      <w:r w:rsidR="00BC4E48">
        <w:t>ing</w:t>
      </w:r>
      <w:r w:rsidR="001D0BA8">
        <w:t xml:space="preserve"> overcharging and/or piling on charges</w:t>
      </w:r>
      <w:r w:rsidR="002C6F3D">
        <w:t>.</w:t>
      </w:r>
      <w:r w:rsidR="00B93E0F">
        <w:rPr>
          <w:rStyle w:val="EndnoteReference"/>
        </w:rPr>
        <w:endnoteReference w:id="57"/>
      </w:r>
      <w:r w:rsidR="002C6F3D">
        <w:t xml:space="preserve"> </w:t>
      </w:r>
    </w:p>
    <w:p w14:paraId="4CBE7F57" w14:textId="2B1E22D6" w:rsidR="00ED15D8" w:rsidRDefault="00ED15D8" w:rsidP="00C5284A">
      <w:pPr>
        <w:spacing w:after="0" w:line="480" w:lineRule="auto"/>
        <w:jc w:val="both"/>
      </w:pPr>
      <w:r>
        <w:tab/>
        <w:t>These policies are important first step</w:t>
      </w:r>
      <w:r w:rsidR="00D6494E">
        <w:t>s</w:t>
      </w:r>
      <w:r w:rsidR="00B85064">
        <w:t xml:space="preserve"> </w:t>
      </w:r>
      <w:r w:rsidR="00C27749">
        <w:t xml:space="preserve">to encourage </w:t>
      </w:r>
      <w:r w:rsidR="00B85064">
        <w:t>other Vermont counties to follow Chittenden’s example.</w:t>
      </w:r>
      <w:r>
        <w:t xml:space="preserve"> </w:t>
      </w:r>
      <w:r w:rsidR="00825BD3">
        <w:t>That said, even</w:t>
      </w:r>
      <w:r>
        <w:t xml:space="preserve"> </w:t>
      </w:r>
      <w:r w:rsidR="00077671">
        <w:t xml:space="preserve">more can be done </w:t>
      </w:r>
      <w:r w:rsidR="00D6494E">
        <w:t xml:space="preserve">at the state level to shift the way Vermont </w:t>
      </w:r>
      <w:r w:rsidR="005F04B8">
        <w:t>responds to and regulates criminal plea bargaining</w:t>
      </w:r>
      <w:r w:rsidR="006671E0">
        <w:t xml:space="preserve"> to ensure more fairness and eliminate coercive plea bargaining</w:t>
      </w:r>
      <w:r w:rsidR="005F04B8">
        <w:t>.</w:t>
      </w:r>
      <w:r w:rsidR="000818BE">
        <w:t xml:space="preserve"> </w:t>
      </w:r>
      <w:r w:rsidR="00A335E7">
        <w:t xml:space="preserve">This proposal </w:t>
      </w:r>
      <w:r w:rsidR="00C2212E">
        <w:t>highlights</w:t>
      </w:r>
      <w:r w:rsidR="00A335E7">
        <w:t xml:space="preserve"> </w:t>
      </w:r>
      <w:r w:rsidR="00CE56F6">
        <w:t>a</w:t>
      </w:r>
      <w:r w:rsidR="00A335E7">
        <w:t xml:space="preserve">dditional </w:t>
      </w:r>
      <w:r w:rsidR="009E098A">
        <w:t>procedural law reforms</w:t>
      </w:r>
      <w:r w:rsidR="00A10641">
        <w:t xml:space="preserve"> that can be </w:t>
      </w:r>
      <w:r w:rsidR="00407288">
        <w:t xml:space="preserve">incorporated into the Vermont Rules of Criminal Procedure to </w:t>
      </w:r>
      <w:r w:rsidR="006671E0">
        <w:t xml:space="preserve">facilitate </w:t>
      </w:r>
      <w:r w:rsidR="00914EC3">
        <w:t>the</w:t>
      </w:r>
      <w:r w:rsidR="006671E0">
        <w:t xml:space="preserve"> </w:t>
      </w:r>
      <w:r w:rsidR="00560996">
        <w:t>move towards a new age of criminal justice</w:t>
      </w:r>
      <w:r w:rsidR="006671E0">
        <w:t>.</w:t>
      </w:r>
      <w:r w:rsidR="009F7638">
        <w:rPr>
          <w:rStyle w:val="EndnoteReference"/>
        </w:rPr>
        <w:endnoteReference w:id="58"/>
      </w:r>
      <w:r w:rsidR="006671E0">
        <w:t xml:space="preserve"> </w:t>
      </w:r>
    </w:p>
    <w:p w14:paraId="27400B89" w14:textId="7E96E5E6" w:rsidR="009554CA" w:rsidRPr="00421421" w:rsidRDefault="009554CA" w:rsidP="00DC772A">
      <w:pPr>
        <w:pStyle w:val="ListParagraph"/>
        <w:numPr>
          <w:ilvl w:val="0"/>
          <w:numId w:val="4"/>
        </w:numPr>
        <w:spacing w:after="0" w:line="480" w:lineRule="auto"/>
        <w:ind w:left="0" w:firstLine="0"/>
        <w:jc w:val="center"/>
        <w:rPr>
          <w:b/>
          <w:bCs/>
          <w:u w:val="single"/>
        </w:rPr>
      </w:pPr>
      <w:r w:rsidRPr="00421421">
        <w:rPr>
          <w:b/>
          <w:bCs/>
          <w:u w:val="single"/>
        </w:rPr>
        <w:t>Proposed Amendment to Vt. R. Crim. P.</w:t>
      </w:r>
      <w:r w:rsidR="00AB58EE">
        <w:rPr>
          <w:b/>
          <w:bCs/>
          <w:u w:val="single"/>
        </w:rPr>
        <w:t xml:space="preserve"> 11</w:t>
      </w:r>
    </w:p>
    <w:p w14:paraId="20CE344D" w14:textId="3E944CDE" w:rsidR="0012695C" w:rsidRDefault="002F2244" w:rsidP="00C5284A">
      <w:pPr>
        <w:spacing w:after="0" w:line="480" w:lineRule="auto"/>
        <w:ind w:firstLine="720"/>
        <w:jc w:val="both"/>
      </w:pPr>
      <w:r>
        <w:t xml:space="preserve">As discussed, one of the most concerning aspects of our criminal legal system’s reliance on plea bargaining </w:t>
      </w:r>
      <w:r w:rsidR="00A65006">
        <w:t xml:space="preserve">to </w:t>
      </w:r>
      <w:r w:rsidR="00544C4F">
        <w:t>resolve cases</w:t>
      </w:r>
      <w:r w:rsidR="00A65006">
        <w:t xml:space="preserve"> is that </w:t>
      </w:r>
      <w:r w:rsidR="00544C4F">
        <w:t>the process is</w:t>
      </w:r>
      <w:r w:rsidR="00A65006">
        <w:t xml:space="preserve"> largely unre</w:t>
      </w:r>
      <w:r w:rsidR="00AE2A5C">
        <w:t>gulated</w:t>
      </w:r>
      <w:r w:rsidR="00A65006">
        <w:t xml:space="preserve"> and lacks virtually any transparency. </w:t>
      </w:r>
      <w:r w:rsidR="0034789C">
        <w:t xml:space="preserve">In response, </w:t>
      </w:r>
      <w:r w:rsidR="005B7D01">
        <w:t xml:space="preserve">it is recommended that </w:t>
      </w:r>
      <w:r w:rsidR="00B92A2F">
        <w:t xml:space="preserve">the Vermont judiciary </w:t>
      </w:r>
      <w:r w:rsidR="005B7D01">
        <w:t xml:space="preserve">create </w:t>
      </w:r>
      <w:r w:rsidR="0034789C">
        <w:t xml:space="preserve">a </w:t>
      </w:r>
      <w:r w:rsidR="006A4EE2">
        <w:t xml:space="preserve">plea bargaining </w:t>
      </w:r>
      <w:r w:rsidR="00CA0415">
        <w:t>portal</w:t>
      </w:r>
      <w:r w:rsidR="00CE744B">
        <w:t>, which would be used by prosecutors and defense attorneys to propose</w:t>
      </w:r>
      <w:r w:rsidR="00565C85">
        <w:t xml:space="preserve"> and respond to plea offers. </w:t>
      </w:r>
      <w:r w:rsidR="003E347D">
        <w:t xml:space="preserve">A </w:t>
      </w:r>
      <w:r w:rsidR="00EC7BAD">
        <w:t xml:space="preserve">new </w:t>
      </w:r>
      <w:r w:rsidR="003E347D">
        <w:t>provision</w:t>
      </w:r>
      <w:r w:rsidR="00480544">
        <w:t xml:space="preserve"> requir</w:t>
      </w:r>
      <w:r w:rsidR="003E347D">
        <w:t>ing</w:t>
      </w:r>
      <w:r w:rsidR="00480544">
        <w:t xml:space="preserve"> criminal attorneys </w:t>
      </w:r>
      <w:r w:rsidR="003E347D">
        <w:t xml:space="preserve">to </w:t>
      </w:r>
      <w:r w:rsidR="00480544">
        <w:t>use this</w:t>
      </w:r>
      <w:r w:rsidR="00D76529">
        <w:t xml:space="preserve"> portal</w:t>
      </w:r>
      <w:r w:rsidR="00480544">
        <w:t xml:space="preserve"> for all plea negotiations would be </w:t>
      </w:r>
      <w:r w:rsidR="003E347D">
        <w:t>added to Vt. R. Crim. P. 11</w:t>
      </w:r>
      <w:r w:rsidR="00EA0B18">
        <w:t xml:space="preserve">. </w:t>
      </w:r>
      <w:r w:rsidR="0012695C">
        <w:t xml:space="preserve">The entries would </w:t>
      </w:r>
      <w:r w:rsidR="00C15F18">
        <w:t xml:space="preserve">detail </w:t>
      </w:r>
      <w:r w:rsidR="001C6937">
        <w:t>each</w:t>
      </w:r>
      <w:r w:rsidR="00C15F18">
        <w:t xml:space="preserve"> offer presented to defendants</w:t>
      </w:r>
      <w:r w:rsidR="0012695C">
        <w:t xml:space="preserve"> by the prosecution</w:t>
      </w:r>
      <w:r w:rsidR="00C15F18">
        <w:t xml:space="preserve"> </w:t>
      </w:r>
      <w:r w:rsidR="001C6937">
        <w:t xml:space="preserve">and </w:t>
      </w:r>
      <w:r w:rsidR="00C15F18">
        <w:t>the defendants’ response</w:t>
      </w:r>
      <w:r w:rsidR="0012695C">
        <w:t>s</w:t>
      </w:r>
      <w:r w:rsidR="005F7847">
        <w:t xml:space="preserve">, </w:t>
      </w:r>
      <w:r w:rsidR="00070AD2">
        <w:t>promoting</w:t>
      </w:r>
      <w:r w:rsidR="005F7847">
        <w:t xml:space="preserve"> full and accurate transparency</w:t>
      </w:r>
      <w:r w:rsidR="00D24509">
        <w:t xml:space="preserve">. </w:t>
      </w:r>
      <w:r w:rsidR="00EC687A">
        <w:t xml:space="preserve">The provision would also grant access to judges presiding over criminal cases in </w:t>
      </w:r>
      <w:r w:rsidR="00EC687A">
        <w:lastRenderedPageBreak/>
        <w:t xml:space="preserve">each county. </w:t>
      </w:r>
      <w:r w:rsidR="00CE2F3A">
        <w:t xml:space="preserve">After the resolution of a case, </w:t>
      </w:r>
      <w:r w:rsidR="00AF29EC">
        <w:t xml:space="preserve">the </w:t>
      </w:r>
      <w:r w:rsidR="00D579A2">
        <w:t xml:space="preserve">details </w:t>
      </w:r>
      <w:r w:rsidR="004A1711">
        <w:t>the case’s</w:t>
      </w:r>
      <w:r w:rsidR="00D579A2">
        <w:t xml:space="preserve"> </w:t>
      </w:r>
      <w:r w:rsidR="00AF29EC">
        <w:t>plea negotiations would become public information</w:t>
      </w:r>
      <w:r w:rsidR="00F17CA6">
        <w:t>,</w:t>
      </w:r>
      <w:r w:rsidR="00AF29EC">
        <w:t xml:space="preserve"> </w:t>
      </w:r>
      <w:r w:rsidR="00F17CA6">
        <w:t>subject to</w:t>
      </w:r>
      <w:r w:rsidR="00AF29EC">
        <w:t xml:space="preserve"> constituent and media </w:t>
      </w:r>
      <w:r w:rsidR="00F17CA6">
        <w:t>scrutiny</w:t>
      </w:r>
      <w:r w:rsidR="00AF29EC">
        <w:t xml:space="preserve">. </w:t>
      </w:r>
    </w:p>
    <w:p w14:paraId="04D82759" w14:textId="45554B7A" w:rsidR="00D06342" w:rsidRDefault="00881FEF" w:rsidP="0053727C">
      <w:pPr>
        <w:spacing w:after="0" w:line="480" w:lineRule="auto"/>
        <w:ind w:firstLine="720"/>
        <w:jc w:val="both"/>
      </w:pPr>
      <w:r>
        <w:rPr>
          <w:noProof/>
        </w:rPr>
        <mc:AlternateContent>
          <mc:Choice Requires="wpi">
            <w:drawing>
              <wp:anchor distT="0" distB="0" distL="114300" distR="114300" simplePos="0" relativeHeight="251665408" behindDoc="0" locked="0" layoutInCell="1" allowOverlap="1" wp14:anchorId="743D5B63" wp14:editId="3A10A285">
                <wp:simplePos x="0" y="0"/>
                <wp:positionH relativeFrom="column">
                  <wp:posOffset>7991899</wp:posOffset>
                </wp:positionH>
                <wp:positionV relativeFrom="paragraph">
                  <wp:posOffset>814362</wp:posOffset>
                </wp:positionV>
                <wp:extent cx="26640" cy="528480"/>
                <wp:effectExtent l="38100" t="38100" r="31115" b="43180"/>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26640" cy="528480"/>
                      </w14:xfrm>
                    </w14:contentPart>
                  </a:graphicData>
                </a:graphic>
              </wp:anchor>
            </w:drawing>
          </mc:Choice>
          <mc:Fallback>
            <w:pict>
              <v:shape w14:anchorId="48AC123B" id="Ink 7" o:spid="_x0000_s1026" type="#_x0000_t75" style="position:absolute;margin-left:628.95pt;margin-top:63.75pt;width:2.85pt;height:42.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">
                <v:imagedata r:id="rId11" o:title=""/>
              </v:shape>
            </w:pict>
          </mc:Fallback>
        </mc:AlternateContent>
      </w:r>
      <w:r w:rsidR="00D24509">
        <w:t xml:space="preserve">The </w:t>
      </w:r>
      <w:r w:rsidR="0053727C">
        <w:t>portal</w:t>
      </w:r>
      <w:r w:rsidR="00D24509">
        <w:t xml:space="preserve"> would allow for supervisory review</w:t>
      </w:r>
      <w:r w:rsidR="007339A2">
        <w:t xml:space="preserve"> without relying on the prosecutor to approach the</w:t>
      </w:r>
      <w:r w:rsidR="00915516">
        <w:t xml:space="preserve">ir superior directly, </w:t>
      </w:r>
      <w:r w:rsidR="00DB5C15">
        <w:t xml:space="preserve">giving </w:t>
      </w:r>
      <w:r w:rsidR="005804F2">
        <w:t>State’s Attorneys insight into the</w:t>
      </w:r>
      <w:r w:rsidR="00A05196">
        <w:t xml:space="preserve"> negotiations and allow</w:t>
      </w:r>
      <w:r w:rsidR="00064C0C">
        <w:t>ing</w:t>
      </w:r>
      <w:r w:rsidR="00A05196">
        <w:t xml:space="preserve"> them to step in </w:t>
      </w:r>
      <w:r w:rsidR="00873F2D">
        <w:t>when</w:t>
      </w:r>
      <w:r w:rsidR="00A05196">
        <w:t xml:space="preserve"> </w:t>
      </w:r>
      <w:r w:rsidR="00BF0088">
        <w:t>appropriate</w:t>
      </w:r>
      <w:r w:rsidR="00A05196">
        <w:t>.</w:t>
      </w:r>
      <w:r w:rsidR="0072655D">
        <w:t xml:space="preserve"> </w:t>
      </w:r>
      <w:r w:rsidR="005533B2">
        <w:t xml:space="preserve">The </w:t>
      </w:r>
      <w:r w:rsidR="0053727C">
        <w:t>portal</w:t>
      </w:r>
      <w:r w:rsidR="00E545F9">
        <w:t xml:space="preserve"> will</w:t>
      </w:r>
      <w:r w:rsidR="005533B2">
        <w:t xml:space="preserve"> also</w:t>
      </w:r>
      <w:r w:rsidR="00E545F9">
        <w:t xml:space="preserve"> give</w:t>
      </w:r>
      <w:r w:rsidR="0072655D">
        <w:t xml:space="preserve"> more progressive </w:t>
      </w:r>
      <w:r w:rsidR="00EE7F66">
        <w:t>State’s Attorneys</w:t>
      </w:r>
      <w:r w:rsidR="00E545F9">
        <w:t xml:space="preserve"> an opportunity</w:t>
      </w:r>
      <w:r w:rsidR="0072655D">
        <w:t xml:space="preserve"> to ensure that their deputy attorneys are </w:t>
      </w:r>
      <w:r w:rsidR="00EE7F66">
        <w:t xml:space="preserve">complying with internal policies around plea bargaining </w:t>
      </w:r>
      <w:r w:rsidR="00AD5C6A">
        <w:t xml:space="preserve">and to track negotiation strategies and effects over time. </w:t>
      </w:r>
    </w:p>
    <w:p w14:paraId="1326CC1E" w14:textId="02E368AC" w:rsidR="00BF0088" w:rsidRPr="00765ACC" w:rsidRDefault="00D50971" w:rsidP="00C5284A">
      <w:pPr>
        <w:spacing w:after="0" w:line="480" w:lineRule="auto"/>
        <w:ind w:firstLine="720"/>
        <w:jc w:val="both"/>
      </w:pPr>
      <w:r>
        <w:t>A</w:t>
      </w:r>
      <w:r w:rsidR="00BD1C80">
        <w:t>n additional</w:t>
      </w:r>
      <w:r w:rsidR="00B61F38">
        <w:t xml:space="preserve"> provision to Vt. R. Cr</w:t>
      </w:r>
      <w:r w:rsidR="00146392">
        <w:t>im</w:t>
      </w:r>
      <w:r w:rsidR="00B61F38">
        <w:t>. P. 11</w:t>
      </w:r>
      <w:r w:rsidR="006619B8">
        <w:t xml:space="preserve"> requir</w:t>
      </w:r>
      <w:r w:rsidR="00972F17">
        <w:t>ing</w:t>
      </w:r>
      <w:r w:rsidR="006619B8">
        <w:t xml:space="preserve"> judicial review of </w:t>
      </w:r>
      <w:r w:rsidR="00873F2D">
        <w:t>certain</w:t>
      </w:r>
      <w:r w:rsidR="006619B8">
        <w:t xml:space="preserve"> plea negotiations</w:t>
      </w:r>
      <w:r>
        <w:t xml:space="preserve"> should </w:t>
      </w:r>
      <w:r w:rsidR="008C3081">
        <w:t xml:space="preserve">accompany the implementation of this </w:t>
      </w:r>
      <w:r w:rsidR="0053727C">
        <w:t>plea portal</w:t>
      </w:r>
      <w:r w:rsidR="00972F17">
        <w:t>. Specifically,</w:t>
      </w:r>
      <w:r w:rsidR="000410EC">
        <w:t xml:space="preserve"> </w:t>
      </w:r>
      <w:r w:rsidR="00B44FBD">
        <w:t>if</w:t>
      </w:r>
      <w:r w:rsidR="006619B8">
        <w:t xml:space="preserve"> a defendant reject</w:t>
      </w:r>
      <w:r w:rsidR="00B44FBD">
        <w:t>s</w:t>
      </w:r>
      <w:r w:rsidR="006619B8">
        <w:t xml:space="preserve"> the prosecutor’s best offer</w:t>
      </w:r>
      <w:r w:rsidR="000410EC">
        <w:t xml:space="preserve"> and plead</w:t>
      </w:r>
      <w:r w:rsidR="00B44FBD">
        <w:t>s</w:t>
      </w:r>
      <w:r w:rsidR="000410EC">
        <w:t xml:space="preserve"> ‘not gu</w:t>
      </w:r>
      <w:r w:rsidR="00B44FBD">
        <w:t>ilty</w:t>
      </w:r>
      <w:r w:rsidR="004F3A7B">
        <w:t>,</w:t>
      </w:r>
      <w:r w:rsidR="00B44FBD">
        <w:t xml:space="preserve">’ </w:t>
      </w:r>
      <w:r w:rsidR="004F3A7B">
        <w:t xml:space="preserve">the judge would review the plea </w:t>
      </w:r>
      <w:r w:rsidR="00E07FC5">
        <w:t>negotiations</w:t>
      </w:r>
      <w:r w:rsidR="004F3A7B">
        <w:t xml:space="preserve"> to </w:t>
      </w:r>
      <w:r w:rsidR="00E07FC5">
        <w:t>prevent</w:t>
      </w:r>
      <w:r w:rsidR="008D4FED">
        <w:t xml:space="preserve"> </w:t>
      </w:r>
      <w:r w:rsidR="00B44FBD">
        <w:t>the prosecution</w:t>
      </w:r>
      <w:r w:rsidR="00E07FC5">
        <w:t xml:space="preserve"> from</w:t>
      </w:r>
      <w:r w:rsidR="008F1ABC">
        <w:t xml:space="preserve"> </w:t>
      </w:r>
      <w:r w:rsidR="00C04499">
        <w:t>seek</w:t>
      </w:r>
      <w:r w:rsidR="00E07FC5">
        <w:t>ing</w:t>
      </w:r>
      <w:r w:rsidR="00C04499">
        <w:t xml:space="preserve"> a higher charge, multiple other charges, or a sentence longer than </w:t>
      </w:r>
      <w:r w:rsidR="00E07FC5">
        <w:t>those</w:t>
      </w:r>
      <w:r w:rsidR="00324D50">
        <w:t xml:space="preserve"> proposed to the defendant</w:t>
      </w:r>
      <w:r w:rsidR="00E07FC5">
        <w:t xml:space="preserve"> without sufficient justification</w:t>
      </w:r>
      <w:r w:rsidR="00324D50">
        <w:t xml:space="preserve">. </w:t>
      </w:r>
      <w:r w:rsidR="00ED11AE">
        <w:t xml:space="preserve">The rule would require </w:t>
      </w:r>
      <w:r w:rsidR="00514203">
        <w:t>any</w:t>
      </w:r>
      <w:r w:rsidR="00ED11AE">
        <w:t xml:space="preserve"> prosecutor </w:t>
      </w:r>
      <w:r w:rsidR="00974DA5">
        <w:t>charging</w:t>
      </w:r>
      <w:r w:rsidR="001F3CF7">
        <w:t xml:space="preserve"> a more serious offense or seek</w:t>
      </w:r>
      <w:r w:rsidR="00974DA5">
        <w:t>ing</w:t>
      </w:r>
      <w:r w:rsidR="001F3CF7">
        <w:t xml:space="preserve"> a harsher sentence</w:t>
      </w:r>
      <w:r w:rsidR="00974DA5">
        <w:t xml:space="preserve"> than the</w:t>
      </w:r>
      <w:r w:rsidR="00F81A65">
        <w:t xml:space="preserve">ir </w:t>
      </w:r>
      <w:r w:rsidR="008D218E">
        <w:t>best</w:t>
      </w:r>
      <w:r w:rsidR="00F81A65">
        <w:t xml:space="preserve"> plea offer </w:t>
      </w:r>
      <w:r w:rsidR="00ED11AE">
        <w:t xml:space="preserve">to defend their choice </w:t>
      </w:r>
      <w:r w:rsidR="007A3FE8">
        <w:t>on the record.</w:t>
      </w:r>
      <w:r w:rsidR="000E0E8E">
        <w:t xml:space="preserve"> A “harsher sentence” would be </w:t>
      </w:r>
      <w:r w:rsidR="00A707B2">
        <w:t xml:space="preserve">defined as any additional </w:t>
      </w:r>
      <w:r w:rsidR="009F2E04">
        <w:t xml:space="preserve">time in </w:t>
      </w:r>
      <w:r w:rsidR="009F2E04" w:rsidRPr="00765ACC">
        <w:t>prison</w:t>
      </w:r>
      <w:r w:rsidR="00F14B93" w:rsidRPr="00765ACC">
        <w:t xml:space="preserve">, as well as any change </w:t>
      </w:r>
      <w:r w:rsidR="003C61EE" w:rsidRPr="00765ACC">
        <w:t>in</w:t>
      </w:r>
      <w:r w:rsidR="00F14B93" w:rsidRPr="00765ACC">
        <w:t xml:space="preserve"> </w:t>
      </w:r>
      <w:r w:rsidR="00B57202" w:rsidRPr="00765ACC">
        <w:t xml:space="preserve">the form of supervision (i.e. probation </w:t>
      </w:r>
      <w:r w:rsidR="00FF4069">
        <w:t>or</w:t>
      </w:r>
      <w:r w:rsidR="00B57202" w:rsidRPr="00765ACC">
        <w:t xml:space="preserve"> parole </w:t>
      </w:r>
      <w:r w:rsidR="00FF4069">
        <w:t xml:space="preserve">compared to </w:t>
      </w:r>
      <w:r w:rsidR="00B57202" w:rsidRPr="00765ACC">
        <w:t>incarceration)</w:t>
      </w:r>
      <w:r w:rsidR="009B7162" w:rsidRPr="00765ACC">
        <w:t xml:space="preserve">. </w:t>
      </w:r>
    </w:p>
    <w:p w14:paraId="5C3D6E95" w14:textId="72E66452" w:rsidR="00090714" w:rsidRPr="00765ACC" w:rsidRDefault="007A3FE8" w:rsidP="00C5284A">
      <w:pPr>
        <w:spacing w:after="0" w:line="480" w:lineRule="auto"/>
        <w:ind w:firstLine="720"/>
        <w:jc w:val="both"/>
      </w:pPr>
      <w:r w:rsidRPr="00765ACC">
        <w:t xml:space="preserve">The </w:t>
      </w:r>
      <w:r w:rsidR="00687F68" w:rsidRPr="00765ACC">
        <w:t xml:space="preserve">objective of this new provision </w:t>
      </w:r>
      <w:r w:rsidR="00CB47B6" w:rsidRPr="00765ACC">
        <w:t>is</w:t>
      </w:r>
      <w:r w:rsidR="00687F68" w:rsidRPr="00765ACC">
        <w:t xml:space="preserve"> to </w:t>
      </w:r>
      <w:r w:rsidR="00CB47B6" w:rsidRPr="00765ACC">
        <w:t>reduce</w:t>
      </w:r>
      <w:r w:rsidR="00687F68" w:rsidRPr="00765ACC">
        <w:t xml:space="preserve"> some of the prosecution’s discretion </w:t>
      </w:r>
      <w:r w:rsidR="00CB47B6" w:rsidRPr="00765ACC">
        <w:t xml:space="preserve">to pile on </w:t>
      </w:r>
      <w:r w:rsidR="007C6F19" w:rsidRPr="00765ACC">
        <w:t xml:space="preserve">multiple </w:t>
      </w:r>
      <w:r w:rsidR="00CB47B6" w:rsidRPr="00765ACC">
        <w:t xml:space="preserve">charges </w:t>
      </w:r>
      <w:r w:rsidR="007C6F19" w:rsidRPr="00765ACC">
        <w:t>and/or</w:t>
      </w:r>
      <w:r w:rsidR="00125A84" w:rsidRPr="00765ACC">
        <w:t xml:space="preserve"> charge defendants with offenses disproportionate to the </w:t>
      </w:r>
      <w:r w:rsidR="00D774A5">
        <w:t xml:space="preserve">nature of the </w:t>
      </w:r>
      <w:r w:rsidR="00125A84" w:rsidRPr="00765ACC">
        <w:t xml:space="preserve">crime </w:t>
      </w:r>
      <w:r w:rsidR="007C6F19" w:rsidRPr="00765ACC">
        <w:t xml:space="preserve">as a strategy for </w:t>
      </w:r>
      <w:r w:rsidR="00056ACD" w:rsidRPr="00765ACC">
        <w:t xml:space="preserve">attaining guilty pleas during plea negotiations. </w:t>
      </w:r>
      <w:r w:rsidR="00DF3CA8" w:rsidRPr="00765ACC">
        <w:t>The p</w:t>
      </w:r>
      <w:r w:rsidR="00F61DCA" w:rsidRPr="00765ACC">
        <w:t xml:space="preserve">rovision would give judges the discretion to reject additional charges or more serious charges if they </w:t>
      </w:r>
      <w:r w:rsidR="008D218E">
        <w:t>find</w:t>
      </w:r>
      <w:r w:rsidR="00680990" w:rsidRPr="00765ACC">
        <w:t xml:space="preserve"> the prosecution’s arguments unconvincing. </w:t>
      </w:r>
      <w:r w:rsidR="00090714" w:rsidRPr="00765ACC">
        <w:t xml:space="preserve">Judges and </w:t>
      </w:r>
      <w:r w:rsidR="00FC24DC" w:rsidRPr="00765ACC">
        <w:t xml:space="preserve">supervisory prosecutors would </w:t>
      </w:r>
      <w:r w:rsidR="0059050E" w:rsidRPr="00765ACC">
        <w:t xml:space="preserve">also </w:t>
      </w:r>
      <w:r w:rsidR="00FC24DC" w:rsidRPr="00765ACC">
        <w:t xml:space="preserve">be put on notice regarding prosecutors who </w:t>
      </w:r>
      <w:r w:rsidR="0059050E" w:rsidRPr="00765ACC">
        <w:t>appear to be</w:t>
      </w:r>
      <w:r w:rsidR="00FC24DC" w:rsidRPr="00765ACC">
        <w:t xml:space="preserve"> </w:t>
      </w:r>
      <w:r w:rsidR="00DB4954" w:rsidRPr="00765ACC">
        <w:t>abusing their discretion in order to get convictions, regardless of the nature and circumstances of the individual defendant’s</w:t>
      </w:r>
      <w:r w:rsidR="00180BD4" w:rsidRPr="00765ACC">
        <w:t xml:space="preserve"> crime and personal </w:t>
      </w:r>
      <w:r w:rsidR="00180BD4" w:rsidRPr="00765ACC">
        <w:lastRenderedPageBreak/>
        <w:t>history.</w:t>
      </w:r>
      <w:r w:rsidR="00AF418D" w:rsidRPr="00765ACC">
        <w:t xml:space="preserve"> While </w:t>
      </w:r>
      <w:r w:rsidR="00EC14E3" w:rsidRPr="00765ACC">
        <w:t>a convicted defendant’s final s</w:t>
      </w:r>
      <w:r w:rsidR="00090714" w:rsidRPr="00765ACC">
        <w:t>entenc</w:t>
      </w:r>
      <w:r w:rsidR="00EC14E3" w:rsidRPr="00765ACC">
        <w:t xml:space="preserve">e is ultimately </w:t>
      </w:r>
      <w:r w:rsidR="008C7BFF">
        <w:t xml:space="preserve">a judicial </w:t>
      </w:r>
      <w:r w:rsidR="00EC14E3" w:rsidRPr="00765ACC">
        <w:t>determin</w:t>
      </w:r>
      <w:r w:rsidR="008C7BFF">
        <w:t>ation</w:t>
      </w:r>
      <w:r w:rsidR="00EC14E3" w:rsidRPr="00765ACC">
        <w:t>, this new provision will</w:t>
      </w:r>
      <w:r w:rsidR="00D22A66" w:rsidRPr="00765ACC">
        <w:t xml:space="preserve"> give additional context </w:t>
      </w:r>
      <w:r w:rsidR="00613EA3" w:rsidRPr="00765ACC">
        <w:t xml:space="preserve">to sentencing hearings, as the judge will be able to question the prosecutor about his amended sentence and why he was willing to </w:t>
      </w:r>
      <w:r w:rsidR="002A28F6">
        <w:t>agree to a</w:t>
      </w:r>
      <w:r w:rsidR="00613EA3" w:rsidRPr="00765ACC">
        <w:t xml:space="preserve"> lesser sentence</w:t>
      </w:r>
      <w:r w:rsidR="002A28F6">
        <w:t xml:space="preserve"> before the case went to trial.</w:t>
      </w:r>
    </w:p>
    <w:p w14:paraId="21E4B0E2" w14:textId="32227F72" w:rsidR="008C1A7B" w:rsidRPr="00765ACC" w:rsidRDefault="004B1313" w:rsidP="00C5284A">
      <w:pPr>
        <w:spacing w:after="0" w:line="480" w:lineRule="auto"/>
        <w:ind w:firstLine="720"/>
        <w:jc w:val="both"/>
      </w:pPr>
      <w:r>
        <w:rPr>
          <w:noProof/>
        </w:rPr>
        <mc:AlternateContent>
          <mc:Choice Requires="wpi">
            <w:drawing>
              <wp:anchor distT="0" distB="0" distL="114300" distR="114300" simplePos="0" relativeHeight="251680768" behindDoc="0" locked="0" layoutInCell="1" allowOverlap="1" wp14:anchorId="234C16EA" wp14:editId="43E52197">
                <wp:simplePos x="0" y="0"/>
                <wp:positionH relativeFrom="column">
                  <wp:posOffset>7476379</wp:posOffset>
                </wp:positionH>
                <wp:positionV relativeFrom="paragraph">
                  <wp:posOffset>1960799</wp:posOffset>
                </wp:positionV>
                <wp:extent cx="614880" cy="437400"/>
                <wp:effectExtent l="38100" t="38100" r="33020" b="39370"/>
                <wp:wrapNone/>
                <wp:docPr id="23" name="Ink 23"/>
                <wp:cNvGraphicFramePr/>
                <a:graphic xmlns:a="http://schemas.openxmlformats.org/drawingml/2006/main">
                  <a:graphicData uri="http://schemas.microsoft.com/office/word/2010/wordprocessingInk">
                    <w14:contentPart bwMode="auto" r:id="rId12">
                      <w14:nvContentPartPr>
                        <w14:cNvContentPartPr/>
                      </w14:nvContentPartPr>
                      <w14:xfrm>
                        <a:off x="0" y="0"/>
                        <a:ext cx="614880" cy="437400"/>
                      </w14:xfrm>
                    </w14:contentPart>
                  </a:graphicData>
                </a:graphic>
              </wp:anchor>
            </w:drawing>
          </mc:Choice>
          <mc:Fallback>
            <w:pict>
              <v:shape w14:anchorId="572FAB38" id="Ink 23" o:spid="_x0000_s1026" type="#_x0000_t75" style="position:absolute;margin-left:588.35pt;margin-top:154.05pt;width:49.1pt;height:35.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">
                <v:imagedata r:id="rId13" o:title=""/>
              </v:shape>
            </w:pict>
          </mc:Fallback>
        </mc:AlternateContent>
      </w:r>
      <w:r w:rsidR="00613EA3" w:rsidRPr="00765ACC">
        <w:t xml:space="preserve">The ultimate </w:t>
      </w:r>
      <w:r w:rsidR="00C545A0" w:rsidRPr="00765ACC">
        <w:t xml:space="preserve">hope is that by making a prosecutor’s </w:t>
      </w:r>
      <w:r w:rsidR="00DA53FB" w:rsidRPr="00765ACC">
        <w:t>plea offers</w:t>
      </w:r>
      <w:r w:rsidR="00C545A0" w:rsidRPr="00765ACC">
        <w:t xml:space="preserve"> “stickier,” as </w:t>
      </w:r>
      <w:r w:rsidR="002A28F6">
        <w:t xml:space="preserve">Andrew </w:t>
      </w:r>
      <w:r w:rsidR="00C545A0" w:rsidRPr="00765ACC">
        <w:t xml:space="preserve">Crespo </w:t>
      </w:r>
      <w:r w:rsidR="001B2B76" w:rsidRPr="00765ACC">
        <w:t>puts it,</w:t>
      </w:r>
      <w:r w:rsidR="00F9491C">
        <w:t xml:space="preserve"> they</w:t>
      </w:r>
      <w:r w:rsidR="001B2B76" w:rsidRPr="00765ACC">
        <w:t xml:space="preserve"> “</w:t>
      </w:r>
      <w:r w:rsidR="00D63ABC" w:rsidRPr="00765ACC">
        <w:t>will be forced to screen away excessively inflated charges up front</w:t>
      </w:r>
      <w:r w:rsidR="00E846A3" w:rsidRPr="00765ACC">
        <w:t>.”</w:t>
      </w:r>
      <w:r w:rsidR="00E846A3" w:rsidRPr="00765ACC">
        <w:rPr>
          <w:rStyle w:val="EndnoteReference"/>
        </w:rPr>
        <w:endnoteReference w:id="59"/>
      </w:r>
      <w:r w:rsidR="00E846A3" w:rsidRPr="00765ACC">
        <w:t xml:space="preserve"> </w:t>
      </w:r>
      <w:r w:rsidR="004F0546" w:rsidRPr="00765ACC">
        <w:t xml:space="preserve">While </w:t>
      </w:r>
      <w:r w:rsidR="007F0225" w:rsidRPr="00765ACC">
        <w:t xml:space="preserve">there is a risk that this provision may result in </w:t>
      </w:r>
      <w:r w:rsidR="0031423B" w:rsidRPr="00765ACC">
        <w:t xml:space="preserve">slightly </w:t>
      </w:r>
      <w:r w:rsidR="00710FED" w:rsidRPr="00765ACC">
        <w:t>less favorable plea offers</w:t>
      </w:r>
      <w:r w:rsidR="007F0225" w:rsidRPr="00765ACC">
        <w:t xml:space="preserve"> </w:t>
      </w:r>
      <w:r w:rsidR="00B55186">
        <w:t>for defendants</w:t>
      </w:r>
      <w:r w:rsidR="007F0225" w:rsidRPr="00765ACC">
        <w:t>,</w:t>
      </w:r>
      <w:r w:rsidR="00AD7BF0" w:rsidRPr="00765ACC">
        <w:t xml:space="preserve"> the fact remains that prosecutors </w:t>
      </w:r>
      <w:r w:rsidR="00B55186">
        <w:t xml:space="preserve">will </w:t>
      </w:r>
      <w:r w:rsidR="00AD7BF0" w:rsidRPr="00765ACC">
        <w:t>remain incentivized to resolve cases as quickly as possible, which inevitably invites a plea negotiation</w:t>
      </w:r>
      <w:r w:rsidR="00C5510E" w:rsidRPr="00765ACC">
        <w:t xml:space="preserve"> rather than </w:t>
      </w:r>
      <w:r w:rsidR="00251D15">
        <w:t>a</w:t>
      </w:r>
      <w:r w:rsidR="00C5510E" w:rsidRPr="00765ACC">
        <w:t xml:space="preserve"> trial. Over time, </w:t>
      </w:r>
      <w:r w:rsidR="0067439F" w:rsidRPr="00765ACC">
        <w:t>the court</w:t>
      </w:r>
      <w:r w:rsidR="00251D15">
        <w:t xml:space="preserve"> and State’s Attorneys’ offices</w:t>
      </w:r>
      <w:r w:rsidR="0067439F" w:rsidRPr="00765ACC">
        <w:t xml:space="preserve"> can </w:t>
      </w:r>
      <w:r w:rsidR="008351E0" w:rsidRPr="00765ACC">
        <w:t>analyze</w:t>
      </w:r>
      <w:r w:rsidR="0067439F" w:rsidRPr="00765ACC">
        <w:t xml:space="preserve"> the data to see </w:t>
      </w:r>
      <w:r w:rsidR="008351E0" w:rsidRPr="00765ACC">
        <w:t>if</w:t>
      </w:r>
      <w:r w:rsidR="0067439F" w:rsidRPr="00765ACC">
        <w:t xml:space="preserve"> a shift in the </w:t>
      </w:r>
      <w:r w:rsidR="001A3F12" w:rsidRPr="00765ACC">
        <w:t>plea negotiation</w:t>
      </w:r>
      <w:r w:rsidR="00EA16A7" w:rsidRPr="00765ACC">
        <w:t xml:space="preserve"> process</w:t>
      </w:r>
      <w:r w:rsidR="001A3F12" w:rsidRPr="00765ACC">
        <w:t xml:space="preserve"> </w:t>
      </w:r>
      <w:r w:rsidR="00EA16A7" w:rsidRPr="00765ACC">
        <w:t>emerges</w:t>
      </w:r>
      <w:r w:rsidR="008351E0" w:rsidRPr="00765ACC">
        <w:t xml:space="preserve"> and can </w:t>
      </w:r>
      <w:r w:rsidR="00EA16A7" w:rsidRPr="00765ACC">
        <w:t xml:space="preserve">reassess </w:t>
      </w:r>
      <w:r w:rsidR="00BD3BE1" w:rsidRPr="00765ACC">
        <w:t xml:space="preserve">plea bargaining polices, as needed. Consistent and </w:t>
      </w:r>
      <w:r w:rsidR="0066155D" w:rsidRPr="00765ACC">
        <w:t>continuous data analysis is</w:t>
      </w:r>
      <w:r w:rsidR="002B3F1F" w:rsidRPr="00765ACC">
        <w:t xml:space="preserve"> crucial to </w:t>
      </w:r>
      <w:r w:rsidR="00323603" w:rsidRPr="00765ACC">
        <w:t xml:space="preserve">measure success of these reforms </w:t>
      </w:r>
      <w:r w:rsidR="00252E99" w:rsidRPr="00765ACC">
        <w:t>and identify other means of achieving the same goal.</w:t>
      </w:r>
    </w:p>
    <w:p w14:paraId="2775CB66" w14:textId="61433B2B" w:rsidR="00963059" w:rsidRPr="00765ACC" w:rsidRDefault="00252E99" w:rsidP="00CE2F3A">
      <w:pPr>
        <w:spacing w:after="0" w:line="480" w:lineRule="auto"/>
        <w:ind w:firstLine="720"/>
        <w:jc w:val="both"/>
      </w:pPr>
      <w:r w:rsidRPr="00765ACC">
        <w:t xml:space="preserve">This </w:t>
      </w:r>
      <w:r w:rsidR="00CE47DD" w:rsidRPr="00765ACC">
        <w:t>reform would be relatively inexpensive</w:t>
      </w:r>
      <w:r w:rsidR="00EB5840" w:rsidRPr="00765ACC">
        <w:t xml:space="preserve"> to implement, as </w:t>
      </w:r>
      <w:r w:rsidR="00F1749C" w:rsidRPr="00765ACC">
        <w:t xml:space="preserve">the principal cost would be for the design and implementation of the </w:t>
      </w:r>
      <w:r w:rsidR="005F7847">
        <w:t>plea portal</w:t>
      </w:r>
      <w:r w:rsidR="00EE017F" w:rsidRPr="00765ACC">
        <w:t xml:space="preserve">. </w:t>
      </w:r>
      <w:r w:rsidR="009C344F" w:rsidRPr="00765ACC">
        <w:t xml:space="preserve">Prosecutorial and court staff would be largely responsible for maintaining the systems, </w:t>
      </w:r>
      <w:r w:rsidR="00C5146F" w:rsidRPr="00765ACC">
        <w:t xml:space="preserve">minimizing </w:t>
      </w:r>
      <w:r w:rsidR="009177C4">
        <w:t xml:space="preserve">large </w:t>
      </w:r>
      <w:r w:rsidR="00C5146F" w:rsidRPr="00765ACC">
        <w:t xml:space="preserve">out-of-pocket expenses. </w:t>
      </w:r>
    </w:p>
    <w:p w14:paraId="1EF616DA" w14:textId="778B68F1" w:rsidR="002823AE" w:rsidRDefault="00623D43" w:rsidP="00C5284A">
      <w:pPr>
        <w:spacing w:after="0" w:line="480" w:lineRule="auto"/>
        <w:ind w:firstLine="720"/>
        <w:jc w:val="both"/>
      </w:pPr>
      <w:r>
        <w:t xml:space="preserve">Recent </w:t>
      </w:r>
      <w:r w:rsidR="003E79F1">
        <w:t>Vermont polling data</w:t>
      </w:r>
      <w:r>
        <w:t xml:space="preserve"> suggests that Vermonters will support these reforms in the interest of justice and prosecutorial accountability.</w:t>
      </w:r>
      <w:r w:rsidR="00666422">
        <w:rPr>
          <w:rStyle w:val="EndnoteReference"/>
        </w:rPr>
        <w:endnoteReference w:id="60"/>
      </w:r>
      <w:r w:rsidR="003E79F1">
        <w:t xml:space="preserve"> </w:t>
      </w:r>
      <w:r>
        <w:t>T</w:t>
      </w:r>
      <w:r w:rsidR="00666422">
        <w:t xml:space="preserve">his advisory committee </w:t>
      </w:r>
      <w:r>
        <w:t xml:space="preserve">is therefore urged </w:t>
      </w:r>
      <w:r w:rsidR="00666422">
        <w:t xml:space="preserve">to adopt these proposed reforms to Vt. R. Crim. P. 11 </w:t>
      </w:r>
      <w:r w:rsidR="000764EB">
        <w:t xml:space="preserve">so Vermont can lead the way in addressing </w:t>
      </w:r>
      <w:r w:rsidR="00DD2496">
        <w:t xml:space="preserve">abusive plea bargaining </w:t>
      </w:r>
      <w:r w:rsidR="00AF73A5">
        <w:t xml:space="preserve">tactics </w:t>
      </w:r>
      <w:r w:rsidR="00F314EA">
        <w:t xml:space="preserve">and set a new course for </w:t>
      </w:r>
      <w:r w:rsidR="001D76C2">
        <w:t xml:space="preserve">criminal justice across the country. </w:t>
      </w:r>
    </w:p>
    <w:p w14:paraId="3C69E277" w14:textId="77777777" w:rsidR="00E91751" w:rsidRDefault="00E91751" w:rsidP="00C5284A">
      <w:pPr>
        <w:spacing w:after="0" w:line="480" w:lineRule="auto"/>
        <w:ind w:firstLine="720"/>
        <w:jc w:val="both"/>
      </w:pPr>
    </w:p>
    <w:p w14:paraId="3D5C3B81" w14:textId="77777777" w:rsidR="00E91751" w:rsidRDefault="00E91751" w:rsidP="00C5284A">
      <w:pPr>
        <w:spacing w:after="0" w:line="480" w:lineRule="auto"/>
        <w:ind w:firstLine="720"/>
        <w:jc w:val="both"/>
      </w:pPr>
    </w:p>
    <w:sectPr w:rsidR="00E91751">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8682" w14:textId="77777777" w:rsidR="003B661F" w:rsidRDefault="003B661F" w:rsidP="001006E3">
      <w:pPr>
        <w:spacing w:after="0" w:line="240" w:lineRule="auto"/>
      </w:pPr>
      <w:r>
        <w:separator/>
      </w:r>
    </w:p>
  </w:endnote>
  <w:endnote w:type="continuationSeparator" w:id="0">
    <w:p w14:paraId="0DF9EEFE" w14:textId="77777777" w:rsidR="003B661F" w:rsidRDefault="003B661F" w:rsidP="001006E3">
      <w:pPr>
        <w:spacing w:after="0" w:line="240" w:lineRule="auto"/>
      </w:pPr>
      <w:r>
        <w:continuationSeparator/>
      </w:r>
    </w:p>
  </w:endnote>
  <w:endnote w:id="1">
    <w:p w14:paraId="26D0D70A" w14:textId="57DFDBE0" w:rsidR="00E411E7" w:rsidRDefault="00E411E7" w:rsidP="00F43B3E">
      <w:pPr>
        <w:pStyle w:val="EndnoteText"/>
        <w:spacing w:after="240"/>
      </w:pPr>
      <w:r>
        <w:rPr>
          <w:rStyle w:val="EndnoteReference"/>
        </w:rPr>
        <w:endnoteRef/>
      </w:r>
      <w:r>
        <w:t xml:space="preserve"> </w:t>
      </w:r>
      <w:r w:rsidRPr="00E411E7">
        <w:rPr>
          <w:i/>
          <w:iCs/>
        </w:rPr>
        <w:t>Missouri v. Frye</w:t>
      </w:r>
      <w:r>
        <w:t>, 566 U.S. 134, 144 (2012).</w:t>
      </w:r>
    </w:p>
  </w:endnote>
  <w:endnote w:id="2">
    <w:p w14:paraId="17F90EE8" w14:textId="178E0F6B" w:rsidR="001C68E3" w:rsidRPr="00B30F2E" w:rsidRDefault="001C68E3" w:rsidP="00F43B3E">
      <w:pPr>
        <w:pStyle w:val="EndnoteText"/>
        <w:spacing w:after="240"/>
      </w:pPr>
      <w:r>
        <w:rPr>
          <w:rStyle w:val="EndnoteReference"/>
        </w:rPr>
        <w:endnoteRef/>
      </w:r>
      <w:r>
        <w:t xml:space="preserve"> </w:t>
      </w:r>
      <w:r>
        <w:rPr>
          <w:i/>
          <w:iCs/>
        </w:rPr>
        <w:t xml:space="preserve">See </w:t>
      </w:r>
      <w:r>
        <w:t xml:space="preserve">Michelle Alexander, </w:t>
      </w:r>
      <w:r w:rsidR="00E636D0">
        <w:rPr>
          <w:i/>
          <w:iCs/>
        </w:rPr>
        <w:t>Go to Trial: Crash the System</w:t>
      </w:r>
      <w:r w:rsidR="00E636D0">
        <w:t xml:space="preserve">, </w:t>
      </w:r>
      <w:r w:rsidR="006D60D3" w:rsidRPr="006D60D3">
        <w:rPr>
          <w:smallCaps/>
        </w:rPr>
        <w:t>N.Y. Times</w:t>
      </w:r>
      <w:r w:rsidR="002817FB">
        <w:rPr>
          <w:smallCaps/>
        </w:rPr>
        <w:t xml:space="preserve"> (</w:t>
      </w:r>
      <w:r w:rsidR="00B30F2E" w:rsidRPr="00B30F2E">
        <w:t>Mar. 10, 2012), http://www.nytimes.com/2012/03/11/opinion/sunday/go</w:t>
      </w:r>
      <w:r w:rsidR="00B30F2E" w:rsidRPr="00B30F2E">
        <w:softHyphen/>
        <w:t>to</w:t>
      </w:r>
      <w:r w:rsidR="00B30F2E" w:rsidRPr="00B30F2E">
        <w:softHyphen/>
        <w:t>trial</w:t>
      </w:r>
      <w:r w:rsidR="00B30F2E" w:rsidRPr="00B30F2E">
        <w:softHyphen/>
        <w:t>crash</w:t>
      </w:r>
      <w:r w:rsidR="00B30F2E" w:rsidRPr="00B30F2E">
        <w:softHyphen/>
        <w:t>the</w:t>
      </w:r>
      <w:r w:rsidR="00B30F2E" w:rsidRPr="00B30F2E">
        <w:softHyphen/>
        <w:t>justice</w:t>
      </w:r>
      <w:r w:rsidR="00B30F2E" w:rsidRPr="00B30F2E">
        <w:softHyphen/>
        <w:t>system.html</w:t>
      </w:r>
      <w:r w:rsidR="00B30F2E">
        <w:t xml:space="preserve">. </w:t>
      </w:r>
    </w:p>
  </w:endnote>
  <w:endnote w:id="3">
    <w:p w14:paraId="6AD24DBE" w14:textId="45491CB3" w:rsidR="001006E3" w:rsidRDefault="001006E3" w:rsidP="00F43B3E">
      <w:pPr>
        <w:pStyle w:val="EndnoteText"/>
        <w:spacing w:after="240"/>
      </w:pPr>
      <w:r>
        <w:rPr>
          <w:rStyle w:val="EndnoteReference"/>
        </w:rPr>
        <w:endnoteRef/>
      </w:r>
      <w:r>
        <w:t xml:space="preserve"> Clay C. Conrad, Commentary, </w:t>
      </w:r>
      <w:r>
        <w:rPr>
          <w:i/>
          <w:iCs/>
        </w:rPr>
        <w:t>Trial by Jury</w:t>
      </w:r>
      <w:r>
        <w:t xml:space="preserve">, </w:t>
      </w:r>
      <w:r w:rsidRPr="00D64201">
        <w:rPr>
          <w:smallCaps/>
        </w:rPr>
        <w:t>Cato Institute</w:t>
      </w:r>
      <w:r>
        <w:rPr>
          <w:smallCaps/>
        </w:rPr>
        <w:t xml:space="preserve"> (</w:t>
      </w:r>
      <w:r w:rsidRPr="001C0BBE">
        <w:t>Dec. 19, 1998)</w:t>
      </w:r>
      <w:r w:rsidR="001A1CC4">
        <w:t xml:space="preserve">, </w:t>
      </w:r>
      <w:r w:rsidR="001A1CC4" w:rsidRPr="001006E3">
        <w:t>https://www.cato.org/commentary/trial-jury</w:t>
      </w:r>
      <w:r w:rsidR="001A1CC4">
        <w:t>.</w:t>
      </w:r>
    </w:p>
  </w:endnote>
  <w:endnote w:id="4">
    <w:p w14:paraId="7A7D7BF2" w14:textId="1C619B48" w:rsidR="00400D56" w:rsidRDefault="004B4B1F" w:rsidP="00F43B3E">
      <w:pPr>
        <w:pStyle w:val="EndnoteText"/>
        <w:spacing w:after="240"/>
      </w:pPr>
      <w:r>
        <w:rPr>
          <w:rStyle w:val="EndnoteReference"/>
        </w:rPr>
        <w:endnoteRef/>
      </w:r>
      <w:r>
        <w:t xml:space="preserve"> Jon P. McClanahan, </w:t>
      </w:r>
      <w:r w:rsidRPr="00874F3E">
        <w:rPr>
          <w:i/>
          <w:iCs/>
        </w:rPr>
        <w:t xml:space="preserve">The </w:t>
      </w:r>
      <w:r w:rsidR="00B94ABD" w:rsidRPr="00874F3E">
        <w:rPr>
          <w:i/>
          <w:iCs/>
        </w:rPr>
        <w:t>‘</w:t>
      </w:r>
      <w:r w:rsidRPr="00874F3E">
        <w:rPr>
          <w:i/>
          <w:iCs/>
        </w:rPr>
        <w:t>True</w:t>
      </w:r>
      <w:r w:rsidR="00B94ABD" w:rsidRPr="00874F3E">
        <w:rPr>
          <w:i/>
          <w:iCs/>
        </w:rPr>
        <w:t>’</w:t>
      </w:r>
      <w:r w:rsidRPr="00874F3E">
        <w:rPr>
          <w:i/>
          <w:iCs/>
        </w:rPr>
        <w:t xml:space="preserve"> Right to Trial by Jury: The Founders' Formulation and Its Demise</w:t>
      </w:r>
      <w:r>
        <w:t>, 111 W. Va. L. Rev. 791, 802 (2009)</w:t>
      </w:r>
      <w:r w:rsidR="00400D56">
        <w:t xml:space="preserve">. </w:t>
      </w:r>
    </w:p>
  </w:endnote>
  <w:endnote w:id="5">
    <w:p w14:paraId="20834123" w14:textId="12CE753E" w:rsidR="00D135C2" w:rsidRDefault="00D135C2" w:rsidP="00F43B3E">
      <w:pPr>
        <w:pStyle w:val="EndnoteText"/>
        <w:spacing w:after="240"/>
      </w:pPr>
      <w:r>
        <w:rPr>
          <w:rStyle w:val="EndnoteReference"/>
        </w:rPr>
        <w:endnoteRef/>
      </w:r>
      <w:r>
        <w:t xml:space="preserve"> Reference to </w:t>
      </w:r>
      <w:r w:rsidR="00B126E6">
        <w:t>Abraham Lincoln</w:t>
      </w:r>
      <w:r w:rsidR="00442A6E">
        <w:t>, Gettysburg Address</w:t>
      </w:r>
      <w:r w:rsidR="00A33FDB">
        <w:t xml:space="preserve"> (Nov. 19, 1863). </w:t>
      </w:r>
    </w:p>
  </w:endnote>
  <w:endnote w:id="6">
    <w:p w14:paraId="5240BFA3" w14:textId="1705CEDF" w:rsidR="00277612" w:rsidRPr="00BF4460" w:rsidRDefault="00277612" w:rsidP="00F43B3E">
      <w:pPr>
        <w:pStyle w:val="EndnoteText"/>
        <w:spacing w:after="240"/>
      </w:pPr>
      <w:r>
        <w:rPr>
          <w:rStyle w:val="EndnoteReference"/>
        </w:rPr>
        <w:endnoteRef/>
      </w:r>
      <w:r>
        <w:t xml:space="preserve"> </w:t>
      </w:r>
      <w:r w:rsidR="00633F4E">
        <w:t>Conrad</w:t>
      </w:r>
      <w:r w:rsidR="000515FF">
        <w:t>,</w:t>
      </w:r>
      <w:r w:rsidR="00E55313">
        <w:t xml:space="preserve"> </w:t>
      </w:r>
      <w:r w:rsidR="00E55313">
        <w:rPr>
          <w:i/>
          <w:iCs/>
        </w:rPr>
        <w:t>supra</w:t>
      </w:r>
      <w:r w:rsidR="00BF4460">
        <w:t xml:space="preserve">. </w:t>
      </w:r>
    </w:p>
  </w:endnote>
  <w:endnote w:id="7">
    <w:p w14:paraId="44C42AFE" w14:textId="1688569E" w:rsidR="00E36F3B" w:rsidRPr="00E36F3B" w:rsidRDefault="00E36F3B" w:rsidP="00F43B3E">
      <w:pPr>
        <w:pStyle w:val="EndnoteText"/>
        <w:spacing w:after="240"/>
      </w:pPr>
      <w:r>
        <w:rPr>
          <w:rStyle w:val="EndnoteReference"/>
        </w:rPr>
        <w:endnoteRef/>
      </w:r>
      <w:r>
        <w:t xml:space="preserve"> </w:t>
      </w:r>
      <w:r>
        <w:rPr>
          <w:i/>
          <w:iCs/>
        </w:rPr>
        <w:t>Id.</w:t>
      </w:r>
    </w:p>
  </w:endnote>
  <w:endnote w:id="8">
    <w:p w14:paraId="0B2963F4" w14:textId="481801A9" w:rsidR="00C310AF" w:rsidRDefault="00C310AF" w:rsidP="00F43B3E">
      <w:pPr>
        <w:pStyle w:val="EndnoteText"/>
        <w:spacing w:after="240"/>
      </w:pPr>
      <w:r>
        <w:rPr>
          <w:rStyle w:val="EndnoteReference"/>
        </w:rPr>
        <w:endnoteRef/>
      </w:r>
      <w:r>
        <w:t xml:space="preserve"> </w:t>
      </w:r>
      <w:r w:rsidRPr="00B10AB6">
        <w:rPr>
          <w:smallCaps/>
        </w:rPr>
        <w:t>U.S. Const</w:t>
      </w:r>
      <w:r>
        <w:t>.</w:t>
      </w:r>
      <w:r w:rsidR="00C4560E">
        <w:t xml:space="preserve"> amend</w:t>
      </w:r>
      <w:r w:rsidR="00B10AB6">
        <w:t>. XI</w:t>
      </w:r>
      <w:r w:rsidR="00202B74">
        <w:t xml:space="preserve">. </w:t>
      </w:r>
    </w:p>
  </w:endnote>
  <w:endnote w:id="9">
    <w:p w14:paraId="257A47EB" w14:textId="7F29762A" w:rsidR="0044318B" w:rsidRPr="002718DC" w:rsidRDefault="0044318B" w:rsidP="00F43B3E">
      <w:pPr>
        <w:pStyle w:val="EndnoteText"/>
        <w:spacing w:after="240"/>
      </w:pPr>
      <w:r>
        <w:rPr>
          <w:rStyle w:val="EndnoteReference"/>
        </w:rPr>
        <w:endnoteRef/>
      </w:r>
      <w:r>
        <w:t xml:space="preserve"> </w:t>
      </w:r>
      <w:r w:rsidR="006E370C">
        <w:t xml:space="preserve">Jed. S. Rakoff, </w:t>
      </w:r>
      <w:r w:rsidR="002718DC">
        <w:rPr>
          <w:i/>
          <w:iCs/>
        </w:rPr>
        <w:t>Why Innocent People Plead Guilty</w:t>
      </w:r>
      <w:r w:rsidR="002718DC">
        <w:t xml:space="preserve">, </w:t>
      </w:r>
      <w:r w:rsidR="002C6AC5" w:rsidRPr="00185C7A">
        <w:rPr>
          <w:smallCaps/>
        </w:rPr>
        <w:t>N.Y. Review of Books</w:t>
      </w:r>
      <w:r w:rsidR="00ED72E9">
        <w:t xml:space="preserve">, </w:t>
      </w:r>
      <w:r w:rsidR="002C6AC5">
        <w:t>Nov. 20, 2014</w:t>
      </w:r>
      <w:r w:rsidR="003E0EC4">
        <w:t xml:space="preserve">. </w:t>
      </w:r>
    </w:p>
  </w:endnote>
  <w:endnote w:id="10">
    <w:p w14:paraId="61F484F1" w14:textId="55F5203B" w:rsidR="009850CB" w:rsidRPr="009850CB" w:rsidRDefault="009850CB" w:rsidP="00F43B3E">
      <w:pPr>
        <w:pStyle w:val="EndnoteText"/>
        <w:spacing w:after="240"/>
      </w:pPr>
      <w:r>
        <w:rPr>
          <w:rStyle w:val="EndnoteReference"/>
        </w:rPr>
        <w:endnoteRef/>
      </w:r>
      <w:r>
        <w:t xml:space="preserve"> </w:t>
      </w:r>
      <w:r>
        <w:rPr>
          <w:i/>
          <w:iCs/>
        </w:rPr>
        <w:t>Id.</w:t>
      </w:r>
    </w:p>
  </w:endnote>
  <w:endnote w:id="11">
    <w:p w14:paraId="1DED9C29" w14:textId="41203BC4" w:rsidR="005E1BDA" w:rsidRPr="005E1BDA" w:rsidRDefault="005E1BDA" w:rsidP="00F43B3E">
      <w:pPr>
        <w:pStyle w:val="EndnoteText"/>
        <w:spacing w:after="240"/>
      </w:pPr>
      <w:r>
        <w:rPr>
          <w:rStyle w:val="EndnoteReference"/>
        </w:rPr>
        <w:endnoteRef/>
      </w:r>
      <w:r>
        <w:t xml:space="preserve"> </w:t>
      </w:r>
      <w:r>
        <w:rPr>
          <w:i/>
          <w:iCs/>
        </w:rPr>
        <w:t>Id.</w:t>
      </w:r>
    </w:p>
  </w:endnote>
  <w:endnote w:id="12">
    <w:p w14:paraId="1C761C5A" w14:textId="3C1F5101" w:rsidR="00183569" w:rsidRPr="005D4A5E" w:rsidRDefault="00183569" w:rsidP="00F43B3E">
      <w:pPr>
        <w:pStyle w:val="EndnoteText"/>
        <w:spacing w:after="240"/>
      </w:pPr>
      <w:r>
        <w:rPr>
          <w:rStyle w:val="EndnoteReference"/>
        </w:rPr>
        <w:endnoteRef/>
      </w:r>
      <w:r>
        <w:t xml:space="preserve"> Michael Conklin, </w:t>
      </w:r>
      <w:r>
        <w:rPr>
          <w:i/>
          <w:iCs/>
        </w:rPr>
        <w:t xml:space="preserve">In Defense of Plea </w:t>
      </w:r>
      <w:r w:rsidRPr="005D4A5E">
        <w:rPr>
          <w:i/>
          <w:iCs/>
        </w:rPr>
        <w:t>Bargaining: Answering Critics’ Objections</w:t>
      </w:r>
      <w:r w:rsidRPr="005D4A5E">
        <w:t xml:space="preserve">, </w:t>
      </w:r>
      <w:r w:rsidR="00874F3E" w:rsidRPr="005D4A5E">
        <w:t>47 W. St. L. Rev. 1</w:t>
      </w:r>
      <w:r w:rsidR="003905D1" w:rsidRPr="005D4A5E">
        <w:t>, 1</w:t>
      </w:r>
      <w:r w:rsidR="00874F3E" w:rsidRPr="005D4A5E">
        <w:t xml:space="preserve"> (2020). </w:t>
      </w:r>
    </w:p>
  </w:endnote>
  <w:endnote w:id="13">
    <w:p w14:paraId="1B90BF56" w14:textId="2B1B0A8B" w:rsidR="003905D1" w:rsidRPr="00D745F5" w:rsidRDefault="003905D1" w:rsidP="00F43B3E">
      <w:pPr>
        <w:pStyle w:val="EndnoteText"/>
        <w:spacing w:after="240"/>
      </w:pPr>
      <w:r w:rsidRPr="005D4A5E">
        <w:rPr>
          <w:rStyle w:val="EndnoteReference"/>
        </w:rPr>
        <w:endnoteRef/>
      </w:r>
      <w:r w:rsidRPr="005D4A5E">
        <w:t xml:space="preserve"> </w:t>
      </w:r>
      <w:r w:rsidRPr="005D4A5E">
        <w:rPr>
          <w:i/>
          <w:iCs/>
        </w:rPr>
        <w:t>Id</w:t>
      </w:r>
      <w:r w:rsidRPr="005D4A5E">
        <w:t xml:space="preserve">. </w:t>
      </w:r>
      <w:r w:rsidR="00734E24" w:rsidRPr="005D4A5E">
        <w:rPr>
          <w:i/>
          <w:iCs/>
        </w:rPr>
        <w:t>See also</w:t>
      </w:r>
      <w:r w:rsidR="00734E24" w:rsidRPr="005D4A5E">
        <w:t xml:space="preserve"> </w:t>
      </w:r>
      <w:r w:rsidR="00CA67A8" w:rsidRPr="005D4A5E">
        <w:t xml:space="preserve">Lucian E. Dervan </w:t>
      </w:r>
      <w:r w:rsidR="009508A0" w:rsidRPr="005D4A5E">
        <w:t xml:space="preserve">&amp; </w:t>
      </w:r>
      <w:r w:rsidR="00CA67A8" w:rsidRPr="005D4A5E">
        <w:t>Vanessa A. Edkins</w:t>
      </w:r>
      <w:r w:rsidR="009508A0" w:rsidRPr="005D4A5E">
        <w:t>,</w:t>
      </w:r>
      <w:r w:rsidR="009508A0">
        <w:t xml:space="preserve"> </w:t>
      </w:r>
      <w:r w:rsidR="005D4A5E" w:rsidRPr="005D4A5E">
        <w:rPr>
          <w:i/>
          <w:iCs/>
        </w:rPr>
        <w:t>The Innocent Defendant's Dilemma: An Innovative Empirical Study of Plea Bargaining ' s Innocence Problem</w:t>
      </w:r>
      <w:r w:rsidR="00D745F5">
        <w:t xml:space="preserve">, </w:t>
      </w:r>
      <w:r w:rsidR="00642F98">
        <w:t>103</w:t>
      </w:r>
      <w:r w:rsidR="006F1B64">
        <w:t xml:space="preserve"> </w:t>
      </w:r>
      <w:r w:rsidR="006F1B64" w:rsidRPr="00E24D7A">
        <w:rPr>
          <w:smallCaps/>
        </w:rPr>
        <w:t xml:space="preserve">J. </w:t>
      </w:r>
      <w:r w:rsidR="00AC13E6" w:rsidRPr="00E24D7A">
        <w:rPr>
          <w:smallCaps/>
        </w:rPr>
        <w:t>Crim. L.</w:t>
      </w:r>
      <w:r w:rsidR="00FB3449" w:rsidRPr="00E24D7A">
        <w:rPr>
          <w:smallCaps/>
        </w:rPr>
        <w:t xml:space="preserve"> &amp; </w:t>
      </w:r>
      <w:r w:rsidR="00CE5D52" w:rsidRPr="00E24D7A">
        <w:rPr>
          <w:smallCaps/>
        </w:rPr>
        <w:t>Criminology</w:t>
      </w:r>
      <w:r w:rsidR="001F0372">
        <w:rPr>
          <w:smallCaps/>
        </w:rPr>
        <w:t xml:space="preserve"> 1, </w:t>
      </w:r>
      <w:r w:rsidR="008A73A5">
        <w:rPr>
          <w:smallCaps/>
        </w:rPr>
        <w:t>6 (</w:t>
      </w:r>
      <w:r w:rsidR="00CB6CC8">
        <w:rPr>
          <w:smallCaps/>
        </w:rPr>
        <w:t xml:space="preserve">2013). </w:t>
      </w:r>
    </w:p>
  </w:endnote>
  <w:endnote w:id="14">
    <w:p w14:paraId="5733C055" w14:textId="4871A3BE" w:rsidR="00D73D05" w:rsidRPr="00F83E34" w:rsidRDefault="00D73D05" w:rsidP="00F43B3E">
      <w:pPr>
        <w:pStyle w:val="EndnoteText"/>
        <w:spacing w:after="240"/>
        <w:rPr>
          <w:i/>
          <w:iCs/>
        </w:rPr>
      </w:pPr>
      <w:r>
        <w:rPr>
          <w:rStyle w:val="EndnoteReference"/>
        </w:rPr>
        <w:endnoteRef/>
      </w:r>
      <w:r>
        <w:t xml:space="preserve"> </w:t>
      </w:r>
      <w:r w:rsidR="00F83E34">
        <w:t>Rakoff</w:t>
      </w:r>
      <w:r w:rsidR="00C37F37">
        <w:t>,</w:t>
      </w:r>
      <w:r w:rsidR="008204AB">
        <w:t xml:space="preserve"> </w:t>
      </w:r>
      <w:r w:rsidR="008204AB">
        <w:rPr>
          <w:i/>
          <w:iCs/>
        </w:rPr>
        <w:t>supra</w:t>
      </w:r>
      <w:r w:rsidR="00F83E34">
        <w:t>.</w:t>
      </w:r>
    </w:p>
  </w:endnote>
  <w:endnote w:id="15">
    <w:p w14:paraId="03BA9D6C" w14:textId="0DF55B72" w:rsidR="000B054E" w:rsidRPr="00AB3F5B" w:rsidRDefault="000B054E" w:rsidP="00F43B3E">
      <w:pPr>
        <w:pStyle w:val="EndnoteText"/>
        <w:spacing w:after="240"/>
      </w:pPr>
      <w:r>
        <w:rPr>
          <w:rStyle w:val="EndnoteReference"/>
        </w:rPr>
        <w:endnoteRef/>
      </w:r>
      <w:r>
        <w:t xml:space="preserve"> </w:t>
      </w:r>
      <w:r w:rsidRPr="00BD1ED8">
        <w:rPr>
          <w:smallCaps/>
        </w:rPr>
        <w:t>Michelle Alexander</w:t>
      </w:r>
      <w:r>
        <w:t xml:space="preserve">, </w:t>
      </w:r>
      <w:r w:rsidRPr="00F901D8">
        <w:rPr>
          <w:smallCaps/>
        </w:rPr>
        <w:t>The New Jim Crow: Mass Incarceration in the Age of Colorblindness</w:t>
      </w:r>
      <w:r>
        <w:t xml:space="preserve"> 88 (rev. ed. 2012). </w:t>
      </w:r>
    </w:p>
  </w:endnote>
  <w:endnote w:id="16">
    <w:p w14:paraId="2C8E8955" w14:textId="682EAB20" w:rsidR="00DD183A" w:rsidRPr="00DD183A" w:rsidRDefault="00DD183A" w:rsidP="00F43B3E">
      <w:pPr>
        <w:pStyle w:val="EndnoteText"/>
        <w:spacing w:after="240"/>
      </w:pPr>
      <w:r>
        <w:rPr>
          <w:rStyle w:val="EndnoteReference"/>
        </w:rPr>
        <w:endnoteRef/>
      </w:r>
      <w:r>
        <w:t xml:space="preserve"> </w:t>
      </w:r>
      <w:r>
        <w:rPr>
          <w:i/>
          <w:iCs/>
        </w:rPr>
        <w:t>Id.</w:t>
      </w:r>
      <w:r>
        <w:t xml:space="preserve"> </w:t>
      </w:r>
      <w:r>
        <w:rPr>
          <w:i/>
          <w:iCs/>
        </w:rPr>
        <w:t xml:space="preserve">See also </w:t>
      </w:r>
      <w:r w:rsidRPr="00985B87">
        <w:rPr>
          <w:smallCaps/>
        </w:rPr>
        <w:t>Angela J. Davis</w:t>
      </w:r>
      <w:r>
        <w:t xml:space="preserve">, </w:t>
      </w:r>
      <w:r w:rsidRPr="00745ADB">
        <w:rPr>
          <w:smallCaps/>
        </w:rPr>
        <w:t>Arbitrary Justice: The Power of the American Prosecutor</w:t>
      </w:r>
      <w:r>
        <w:t xml:space="preserve"> 31-33 (2007). </w:t>
      </w:r>
    </w:p>
  </w:endnote>
  <w:endnote w:id="17">
    <w:p w14:paraId="2733C7A7" w14:textId="77777777" w:rsidR="003A566C" w:rsidRDefault="003A566C" w:rsidP="00F43B3E">
      <w:pPr>
        <w:pStyle w:val="EndnoteText"/>
        <w:spacing w:after="240"/>
      </w:pPr>
      <w:r>
        <w:rPr>
          <w:rStyle w:val="EndnoteReference"/>
        </w:rPr>
        <w:endnoteRef/>
      </w:r>
      <w:r>
        <w:t xml:space="preserve"> </w:t>
      </w:r>
      <w:r w:rsidRPr="009C5AE3">
        <w:t xml:space="preserve">Shari Seidman Diamond </w:t>
      </w:r>
      <w:r>
        <w:t>&amp;</w:t>
      </w:r>
      <w:r w:rsidRPr="009C5AE3">
        <w:t xml:space="preserve"> Jessica M. Salerno, </w:t>
      </w:r>
      <w:r w:rsidRPr="009C5AE3">
        <w:rPr>
          <w:i/>
          <w:iCs/>
        </w:rPr>
        <w:t>Reasons for the Disappearing Jury Trial: Perspectives from Attorneys and Judges</w:t>
      </w:r>
      <w:r w:rsidRPr="009C5AE3">
        <w:t>, 81 La. L. Rev. (2020)</w:t>
      </w:r>
      <w:r>
        <w:t>.</w:t>
      </w:r>
    </w:p>
  </w:endnote>
  <w:endnote w:id="18">
    <w:p w14:paraId="5B863455" w14:textId="77777777" w:rsidR="00200A16" w:rsidRDefault="00200A16" w:rsidP="00F43B3E">
      <w:pPr>
        <w:pStyle w:val="EndnoteText"/>
        <w:spacing w:after="240"/>
      </w:pPr>
      <w:r>
        <w:rPr>
          <w:rStyle w:val="EndnoteReference"/>
        </w:rPr>
        <w:endnoteRef/>
      </w:r>
      <w:r>
        <w:t xml:space="preserve"> </w:t>
      </w:r>
      <w:r w:rsidRPr="00DD4DE9">
        <w:rPr>
          <w:smallCaps/>
        </w:rPr>
        <w:t>U.S. Sent</w:t>
      </w:r>
      <w:r>
        <w:rPr>
          <w:smallCaps/>
        </w:rPr>
        <w:t>’</w:t>
      </w:r>
      <w:r w:rsidRPr="00DD4DE9">
        <w:rPr>
          <w:smallCaps/>
        </w:rPr>
        <w:t>g Comm’n, Overview of Federal Criminal Cases</w:t>
      </w:r>
      <w:r>
        <w:t xml:space="preserve"> 8 (2021), </w:t>
      </w:r>
      <w:r w:rsidRPr="00DA517B">
        <w:t>https://www.ussc.gov/sites/default/files/pdf/research-and-publications/research-publications/2021/FY20_Overview_Federal_Criminal_Cases.pdf</w:t>
      </w:r>
      <w:r>
        <w:t xml:space="preserve">. </w:t>
      </w:r>
    </w:p>
  </w:endnote>
  <w:endnote w:id="19">
    <w:p w14:paraId="19C71ACD" w14:textId="10F17DAE" w:rsidR="00200A16" w:rsidRPr="005846E8" w:rsidRDefault="00200A16" w:rsidP="00F43B3E">
      <w:pPr>
        <w:pStyle w:val="EndnoteText"/>
        <w:spacing w:after="240"/>
        <w:rPr>
          <w:i/>
          <w:iCs/>
        </w:rPr>
      </w:pPr>
      <w:r>
        <w:rPr>
          <w:rStyle w:val="EndnoteReference"/>
        </w:rPr>
        <w:endnoteRef/>
      </w:r>
      <w:r>
        <w:t xml:space="preserve"> The report does point out that “[i]n general, offenders charged with more serious crimes pleaded guilty less often; those who were convicted of kidnaping, murder, arson, manslaughter and sexual abuse went to trial in more than 10 percent of those cases.”</w:t>
      </w:r>
      <w:r w:rsidR="005846E8">
        <w:t xml:space="preserve"> </w:t>
      </w:r>
      <w:r w:rsidR="005846E8">
        <w:rPr>
          <w:i/>
          <w:iCs/>
        </w:rPr>
        <w:t xml:space="preserve">Id. </w:t>
      </w:r>
    </w:p>
  </w:endnote>
  <w:endnote w:id="20">
    <w:p w14:paraId="3A9E6DE6" w14:textId="0556BBE9" w:rsidR="00AA621C" w:rsidRDefault="00AA621C" w:rsidP="00F43B3E">
      <w:pPr>
        <w:pStyle w:val="EndnoteText"/>
        <w:spacing w:after="240"/>
      </w:pPr>
      <w:r>
        <w:rPr>
          <w:rStyle w:val="EndnoteReference"/>
        </w:rPr>
        <w:endnoteRef/>
      </w:r>
      <w:r>
        <w:t xml:space="preserve"> </w:t>
      </w:r>
      <w:r w:rsidR="00B4333F" w:rsidRPr="00B4333F">
        <w:rPr>
          <w:i/>
          <w:iCs/>
        </w:rPr>
        <w:t>Lafler v. Cooper</w:t>
      </w:r>
      <w:r w:rsidR="00B4333F" w:rsidRPr="00750BA9">
        <w:t xml:space="preserve">, 566 U.S. 156, </w:t>
      </w:r>
      <w:r w:rsidR="00B4333F">
        <w:t>170</w:t>
      </w:r>
      <w:r w:rsidR="00B4333F" w:rsidRPr="00750BA9">
        <w:t xml:space="preserve"> (2012)</w:t>
      </w:r>
      <w:r w:rsidR="00B4333F">
        <w:t>.</w:t>
      </w:r>
    </w:p>
  </w:endnote>
  <w:endnote w:id="21">
    <w:p w14:paraId="7DFD4D77" w14:textId="364A8E26" w:rsidR="00DF5A9F" w:rsidRPr="0085234D" w:rsidRDefault="00DF5A9F" w:rsidP="00F43B3E">
      <w:pPr>
        <w:pStyle w:val="EndnoteText"/>
        <w:spacing w:after="240"/>
        <w:rPr>
          <w:i/>
          <w:iCs/>
        </w:rPr>
      </w:pPr>
      <w:r>
        <w:rPr>
          <w:rStyle w:val="EndnoteReference"/>
        </w:rPr>
        <w:endnoteRef/>
      </w:r>
      <w:r>
        <w:t xml:space="preserve"> </w:t>
      </w:r>
      <w:r w:rsidR="00A15D56" w:rsidRPr="00A15D56">
        <w:rPr>
          <w:i/>
          <w:iCs/>
        </w:rPr>
        <w:t>Missouri v. Frye</w:t>
      </w:r>
      <w:r w:rsidR="00A15D56">
        <w:t xml:space="preserve">, 566 U.S. </w:t>
      </w:r>
      <w:r w:rsidR="00E411E7">
        <w:t>at</w:t>
      </w:r>
      <w:r w:rsidR="00A15D56">
        <w:t xml:space="preserve"> 144 (quot</w:t>
      </w:r>
      <w:r w:rsidR="00493B11">
        <w:t>ation omitted).</w:t>
      </w:r>
      <w:r w:rsidR="0085234D">
        <w:t xml:space="preserve"> </w:t>
      </w:r>
    </w:p>
  </w:endnote>
  <w:endnote w:id="22">
    <w:p w14:paraId="763A642D" w14:textId="5DDF2BE5" w:rsidR="00810D64" w:rsidRPr="00810D64" w:rsidRDefault="00810D64" w:rsidP="00F43B3E">
      <w:pPr>
        <w:pStyle w:val="EndnoteText"/>
        <w:spacing w:after="240"/>
      </w:pPr>
      <w:r>
        <w:rPr>
          <w:rStyle w:val="EndnoteReference"/>
        </w:rPr>
        <w:endnoteRef/>
      </w:r>
      <w:r>
        <w:t xml:space="preserve"> Andrew M. Crespo, </w:t>
      </w:r>
      <w:r>
        <w:rPr>
          <w:i/>
          <w:iCs/>
        </w:rPr>
        <w:t>The Hidden Law of Plea Bargaining</w:t>
      </w:r>
      <w:r>
        <w:t xml:space="preserve">, </w:t>
      </w:r>
      <w:r w:rsidR="00F302E7">
        <w:t xml:space="preserve">118 </w:t>
      </w:r>
      <w:r w:rsidR="00B01D17" w:rsidRPr="00A47B9E">
        <w:rPr>
          <w:smallCaps/>
        </w:rPr>
        <w:t>Colu</w:t>
      </w:r>
      <w:r w:rsidR="00A47B9E" w:rsidRPr="00A47B9E">
        <w:rPr>
          <w:smallCaps/>
        </w:rPr>
        <w:t>m.</w:t>
      </w:r>
      <w:r w:rsidR="00B01D17" w:rsidRPr="00A47B9E">
        <w:rPr>
          <w:smallCaps/>
        </w:rPr>
        <w:t xml:space="preserve"> L. Rev</w:t>
      </w:r>
      <w:r w:rsidR="00B01D17">
        <w:t xml:space="preserve">. </w:t>
      </w:r>
      <w:r w:rsidR="00C42980">
        <w:t xml:space="preserve">1, </w:t>
      </w:r>
      <w:r w:rsidR="00A44B7F">
        <w:t xml:space="preserve">37 </w:t>
      </w:r>
      <w:r w:rsidR="00E96DBA">
        <w:t>(2019)</w:t>
      </w:r>
      <w:r w:rsidR="002022BC">
        <w:t xml:space="preserve">, </w:t>
      </w:r>
      <w:r w:rsidR="002022BC" w:rsidRPr="002022BC">
        <w:t>https://columbialawreview.org/content/the-hidden-law-of-plea-bargaining/</w:t>
      </w:r>
      <w:r w:rsidR="00E96DBA">
        <w:t xml:space="preserve">. </w:t>
      </w:r>
    </w:p>
  </w:endnote>
  <w:endnote w:id="23">
    <w:p w14:paraId="7FDBD0FA" w14:textId="1A759DFA" w:rsidR="00E87454" w:rsidRPr="00C657A6" w:rsidRDefault="00E87454" w:rsidP="00F43B3E">
      <w:pPr>
        <w:pStyle w:val="EndnoteText"/>
        <w:spacing w:after="240"/>
      </w:pPr>
      <w:r>
        <w:rPr>
          <w:rStyle w:val="EndnoteReference"/>
        </w:rPr>
        <w:endnoteRef/>
      </w:r>
      <w:r>
        <w:t xml:space="preserve"> </w:t>
      </w:r>
      <w:r w:rsidR="00C657A6">
        <w:rPr>
          <w:i/>
          <w:iCs/>
        </w:rPr>
        <w:t>Id.</w:t>
      </w:r>
      <w:r w:rsidR="00C657A6">
        <w:t xml:space="preserve"> (citing</w:t>
      </w:r>
      <w:r w:rsidR="00B023A7">
        <w:t xml:space="preserve"> </w:t>
      </w:r>
      <w:r w:rsidR="00B023A7" w:rsidRPr="00B023A7">
        <w:t xml:space="preserve">Adriaan Lanni &amp; Carol Steiker, </w:t>
      </w:r>
      <w:r w:rsidR="00B023A7" w:rsidRPr="00B023A7">
        <w:rPr>
          <w:i/>
          <w:iCs/>
        </w:rPr>
        <w:t>A Thematic Approach to Teaching Criminal Adjudication</w:t>
      </w:r>
      <w:r w:rsidR="00B023A7" w:rsidRPr="00B023A7">
        <w:t xml:space="preserve">, 60 </w:t>
      </w:r>
      <w:r w:rsidR="00B023A7" w:rsidRPr="00B023A7">
        <w:rPr>
          <w:smallCaps/>
        </w:rPr>
        <w:t>St. Louis U. L.J.</w:t>
      </w:r>
      <w:r w:rsidR="00B023A7" w:rsidRPr="00B023A7">
        <w:t xml:space="preserve"> 463, 469 (2016)</w:t>
      </w:r>
      <w:r w:rsidR="00263EC5">
        <w:t xml:space="preserve">). </w:t>
      </w:r>
    </w:p>
  </w:endnote>
  <w:endnote w:id="24">
    <w:p w14:paraId="0EA432A5" w14:textId="6A7F14D3" w:rsidR="008B0CCC" w:rsidRPr="00945D04" w:rsidRDefault="008B0CCC" w:rsidP="00F43B3E">
      <w:pPr>
        <w:pStyle w:val="EndnoteText"/>
        <w:spacing w:after="240"/>
      </w:pPr>
      <w:r>
        <w:rPr>
          <w:rStyle w:val="EndnoteReference"/>
        </w:rPr>
        <w:endnoteRef/>
      </w:r>
      <w:r>
        <w:t xml:space="preserve"> </w:t>
      </w:r>
      <w:r>
        <w:rPr>
          <w:i/>
          <w:iCs/>
        </w:rPr>
        <w:t xml:space="preserve">See </w:t>
      </w:r>
      <w:r w:rsidR="00945D04">
        <w:t xml:space="preserve">Crespo, </w:t>
      </w:r>
      <w:r w:rsidR="00945D04">
        <w:rPr>
          <w:i/>
          <w:iCs/>
        </w:rPr>
        <w:t xml:space="preserve">supra </w:t>
      </w:r>
      <w:r w:rsidR="00945D04">
        <w:t>at Part I.</w:t>
      </w:r>
    </w:p>
  </w:endnote>
  <w:endnote w:id="25">
    <w:p w14:paraId="51EFDAD1" w14:textId="034EB412" w:rsidR="00527A8D" w:rsidRPr="004C445B" w:rsidRDefault="00527A8D" w:rsidP="00F43B3E">
      <w:pPr>
        <w:pStyle w:val="EndnoteText"/>
        <w:spacing w:after="240"/>
      </w:pPr>
      <w:r>
        <w:rPr>
          <w:rStyle w:val="EndnoteReference"/>
        </w:rPr>
        <w:endnoteRef/>
      </w:r>
      <w:r>
        <w:t xml:space="preserve"> </w:t>
      </w:r>
      <w:r>
        <w:rPr>
          <w:i/>
          <w:iCs/>
        </w:rPr>
        <w:t>See id.</w:t>
      </w:r>
      <w:r w:rsidR="002243F3">
        <w:t xml:space="preserve"> at Part III</w:t>
      </w:r>
      <w:r>
        <w:t xml:space="preserve">; </w:t>
      </w:r>
      <w:r>
        <w:rPr>
          <w:i/>
          <w:iCs/>
        </w:rPr>
        <w:t xml:space="preserve">see also </w:t>
      </w:r>
      <w:r w:rsidR="004C445B">
        <w:rPr>
          <w:smallCaps/>
        </w:rPr>
        <w:t>Davis</w:t>
      </w:r>
      <w:r w:rsidR="004C445B">
        <w:t xml:space="preserve">, </w:t>
      </w:r>
      <w:r w:rsidR="004C445B">
        <w:rPr>
          <w:i/>
          <w:iCs/>
        </w:rPr>
        <w:t>supra</w:t>
      </w:r>
      <w:r w:rsidR="004C445B">
        <w:t xml:space="preserve"> at </w:t>
      </w:r>
      <w:r w:rsidR="00D00CAF">
        <w:t>31-33</w:t>
      </w:r>
      <w:r w:rsidR="00807B06">
        <w:t xml:space="preserve"> (describing the practice as </w:t>
      </w:r>
      <w:r w:rsidR="00D26083">
        <w:t>“involve[ing] ‘tacking on’ additional charges that they know they cannot prove beyond a reasonable doubt or that they can technically prove but are inconsistent with the legislative intent or otherwise inappropriate</w:t>
      </w:r>
      <w:r w:rsidR="001618CB">
        <w:t>.</w:t>
      </w:r>
      <w:r w:rsidR="00D26083">
        <w:t>”</w:t>
      </w:r>
      <w:r w:rsidR="001618CB">
        <w:t>)</w:t>
      </w:r>
    </w:p>
  </w:endnote>
  <w:endnote w:id="26">
    <w:p w14:paraId="350DFD34" w14:textId="1FEEAFE4" w:rsidR="00C90470" w:rsidRPr="00C90470" w:rsidRDefault="00C90470" w:rsidP="00F43B3E">
      <w:pPr>
        <w:pStyle w:val="EndnoteText"/>
        <w:spacing w:after="240"/>
      </w:pPr>
      <w:r>
        <w:rPr>
          <w:rStyle w:val="EndnoteReference"/>
        </w:rPr>
        <w:endnoteRef/>
      </w:r>
      <w:r>
        <w:t xml:space="preserve"> </w:t>
      </w:r>
      <w:r>
        <w:rPr>
          <w:i/>
          <w:iCs/>
        </w:rPr>
        <w:t xml:space="preserve">See </w:t>
      </w:r>
      <w:r>
        <w:t xml:space="preserve">Crespo, </w:t>
      </w:r>
      <w:r>
        <w:rPr>
          <w:i/>
          <w:iCs/>
        </w:rPr>
        <w:t xml:space="preserve">supra </w:t>
      </w:r>
      <w:r w:rsidR="0088775C">
        <w:t xml:space="preserve">at </w:t>
      </w:r>
      <w:r>
        <w:t>Part</w:t>
      </w:r>
      <w:r w:rsidR="00426CBB">
        <w:t xml:space="preserve"> II.</w:t>
      </w:r>
    </w:p>
  </w:endnote>
  <w:endnote w:id="27">
    <w:p w14:paraId="4647305E" w14:textId="13630D58" w:rsidR="007E70AF" w:rsidRPr="007E70AF" w:rsidRDefault="007E70AF" w:rsidP="00F43B3E">
      <w:pPr>
        <w:pStyle w:val="EndnoteText"/>
        <w:spacing w:after="240"/>
        <w:rPr>
          <w:i/>
          <w:iCs/>
        </w:rPr>
      </w:pPr>
      <w:r>
        <w:rPr>
          <w:rStyle w:val="EndnoteReference"/>
        </w:rPr>
        <w:endnoteRef/>
      </w:r>
      <w:r>
        <w:t xml:space="preserve"> </w:t>
      </w:r>
      <w:r>
        <w:rPr>
          <w:i/>
          <w:iCs/>
        </w:rPr>
        <w:t>Id.</w:t>
      </w:r>
    </w:p>
  </w:endnote>
  <w:endnote w:id="28">
    <w:p w14:paraId="3E1E6CAA" w14:textId="42839B23" w:rsidR="0088775C" w:rsidRPr="00E858FC" w:rsidRDefault="0088775C" w:rsidP="00F43B3E">
      <w:pPr>
        <w:pStyle w:val="EndnoteText"/>
        <w:spacing w:after="240"/>
      </w:pPr>
      <w:r>
        <w:rPr>
          <w:rStyle w:val="EndnoteReference"/>
        </w:rPr>
        <w:endnoteRef/>
      </w:r>
      <w:r>
        <w:t xml:space="preserve"> </w:t>
      </w:r>
      <w:r w:rsidR="00E858FC" w:rsidRPr="00E858FC">
        <w:rPr>
          <w:smallCaps/>
        </w:rPr>
        <w:t>Davis</w:t>
      </w:r>
      <w:r w:rsidR="00E858FC">
        <w:t xml:space="preserve">, </w:t>
      </w:r>
      <w:r w:rsidR="00E858FC">
        <w:rPr>
          <w:i/>
          <w:iCs/>
        </w:rPr>
        <w:t>supra</w:t>
      </w:r>
      <w:r w:rsidR="00E858FC">
        <w:t xml:space="preserve"> at 31.</w:t>
      </w:r>
    </w:p>
  </w:endnote>
  <w:endnote w:id="29">
    <w:p w14:paraId="0D749797" w14:textId="6F94BEA5" w:rsidR="00D219ED" w:rsidRPr="0088775C" w:rsidRDefault="00D219ED" w:rsidP="00F43B3E">
      <w:pPr>
        <w:pStyle w:val="EndnoteText"/>
        <w:spacing w:after="240"/>
      </w:pPr>
      <w:r>
        <w:rPr>
          <w:rStyle w:val="EndnoteReference"/>
        </w:rPr>
        <w:endnoteRef/>
      </w:r>
      <w:r>
        <w:t xml:space="preserve"> </w:t>
      </w:r>
      <w:r w:rsidR="0088775C">
        <w:t xml:space="preserve">Crespo, </w:t>
      </w:r>
      <w:r w:rsidR="0088775C">
        <w:rPr>
          <w:i/>
          <w:iCs/>
        </w:rPr>
        <w:t>supra</w:t>
      </w:r>
      <w:r w:rsidR="0088775C">
        <w:t xml:space="preserve"> at Part II.</w:t>
      </w:r>
    </w:p>
  </w:endnote>
  <w:endnote w:id="30">
    <w:p w14:paraId="06562EC3" w14:textId="507A1BC9" w:rsidR="00AB6E20" w:rsidRPr="00AB6E20" w:rsidRDefault="00AB6E20" w:rsidP="00F43B3E">
      <w:pPr>
        <w:pStyle w:val="EndnoteText"/>
        <w:spacing w:after="240"/>
      </w:pPr>
      <w:r>
        <w:rPr>
          <w:rStyle w:val="EndnoteReference"/>
        </w:rPr>
        <w:endnoteRef/>
      </w:r>
      <w:r>
        <w:t xml:space="preserve"> </w:t>
      </w:r>
      <w:r>
        <w:rPr>
          <w:i/>
          <w:iCs/>
        </w:rPr>
        <w:t>Id.</w:t>
      </w:r>
      <w:r>
        <w:t xml:space="preserve"> at Part IV.</w:t>
      </w:r>
    </w:p>
  </w:endnote>
  <w:endnote w:id="31">
    <w:p w14:paraId="7B7EE57C" w14:textId="4BB7F450" w:rsidR="0054797B" w:rsidRPr="00490105" w:rsidRDefault="0054797B" w:rsidP="00F43B3E">
      <w:pPr>
        <w:pStyle w:val="EndnoteText"/>
        <w:spacing w:after="240"/>
      </w:pPr>
      <w:r>
        <w:rPr>
          <w:rStyle w:val="EndnoteReference"/>
        </w:rPr>
        <w:endnoteRef/>
      </w:r>
      <w:r>
        <w:t xml:space="preserve"> </w:t>
      </w:r>
      <w:r w:rsidR="00490105" w:rsidRPr="00490105">
        <w:rPr>
          <w:smallCaps/>
        </w:rPr>
        <w:t>Davis</w:t>
      </w:r>
      <w:r w:rsidR="00490105">
        <w:t xml:space="preserve">, </w:t>
      </w:r>
      <w:r w:rsidR="00490105">
        <w:rPr>
          <w:i/>
          <w:iCs/>
        </w:rPr>
        <w:t>supra</w:t>
      </w:r>
      <w:r w:rsidR="00490105">
        <w:t xml:space="preserve"> at 5. </w:t>
      </w:r>
    </w:p>
  </w:endnote>
  <w:endnote w:id="32">
    <w:p w14:paraId="7409E007" w14:textId="0F6D55C6" w:rsidR="006F362B" w:rsidRPr="005150C5" w:rsidRDefault="006F362B" w:rsidP="00F43B3E">
      <w:pPr>
        <w:pStyle w:val="EndnoteText"/>
        <w:spacing w:after="240"/>
      </w:pPr>
      <w:r>
        <w:rPr>
          <w:rStyle w:val="EndnoteReference"/>
        </w:rPr>
        <w:endnoteRef/>
      </w:r>
      <w:r>
        <w:t xml:space="preserve"> </w:t>
      </w:r>
      <w:r w:rsidR="00404E13">
        <w:rPr>
          <w:i/>
          <w:iCs/>
        </w:rPr>
        <w:t xml:space="preserve">See </w:t>
      </w:r>
      <w:r w:rsidR="007A61FC">
        <w:rPr>
          <w:i/>
          <w:iCs/>
        </w:rPr>
        <w:t>Unlocking the Black Box: How the Prosecutorial Transparency Act Will Empower Communities and Held End Mass Incarceration</w:t>
      </w:r>
      <w:r w:rsidR="005150C5">
        <w:t xml:space="preserve">, </w:t>
      </w:r>
      <w:r w:rsidR="005150C5" w:rsidRPr="005150C5">
        <w:rPr>
          <w:smallCaps/>
        </w:rPr>
        <w:t>ACLU Smart Justice</w:t>
      </w:r>
      <w:r w:rsidR="005150C5">
        <w:t xml:space="preserve"> (Feb. 2019), </w:t>
      </w:r>
      <w:r w:rsidR="005150C5" w:rsidRPr="005150C5">
        <w:t>https://www.aclu.org/sites/default/files/field_document/pros_transparency_final_draft-opt2.pdf</w:t>
      </w:r>
      <w:r w:rsidR="005150C5">
        <w:t xml:space="preserve">. </w:t>
      </w:r>
    </w:p>
  </w:endnote>
  <w:endnote w:id="33">
    <w:p w14:paraId="5241678B" w14:textId="354F0596" w:rsidR="00626F57" w:rsidRPr="00494A13" w:rsidRDefault="00626F57" w:rsidP="00F43B3E">
      <w:pPr>
        <w:pStyle w:val="EndnoteText"/>
        <w:spacing w:after="240"/>
      </w:pPr>
      <w:r>
        <w:rPr>
          <w:rStyle w:val="EndnoteReference"/>
        </w:rPr>
        <w:endnoteRef/>
      </w:r>
      <w:r>
        <w:t xml:space="preserve"> Somil Trivedi, </w:t>
      </w:r>
      <w:r w:rsidR="009B5C89">
        <w:rPr>
          <w:i/>
          <w:iCs/>
        </w:rPr>
        <w:t>Coercive Plea Bargaining Has Poisoned the Criminal Justice System. It’s Time to Suck the Venom Out.</w:t>
      </w:r>
      <w:r w:rsidR="00A70C42">
        <w:t xml:space="preserve">, </w:t>
      </w:r>
      <w:r w:rsidR="00A70C42" w:rsidRPr="00A70C42">
        <w:rPr>
          <w:smallCaps/>
        </w:rPr>
        <w:t>ACLU Criminal Law Reform Project</w:t>
      </w:r>
      <w:r w:rsidR="00A70C42">
        <w:rPr>
          <w:smallCaps/>
        </w:rPr>
        <w:t xml:space="preserve"> </w:t>
      </w:r>
      <w:r w:rsidR="00494A13">
        <w:rPr>
          <w:smallCaps/>
        </w:rPr>
        <w:t>(</w:t>
      </w:r>
      <w:r w:rsidR="00494A13" w:rsidRPr="00494A13">
        <w:t>Jan</w:t>
      </w:r>
      <w:r w:rsidR="00494A13">
        <w:t xml:space="preserve">. 13, 2020), </w:t>
      </w:r>
      <w:r w:rsidR="00494A13" w:rsidRPr="00494A13">
        <w:t>https://www.aclu.org/news/criminal-law-reform/coercive-plea-bargaining-has-poisoned-the-criminal-justice-system-its-time-to-suck-the-venom-out/</w:t>
      </w:r>
      <w:r w:rsidR="00494A13">
        <w:t xml:space="preserve">. </w:t>
      </w:r>
    </w:p>
  </w:endnote>
  <w:endnote w:id="34">
    <w:p w14:paraId="14DE3044" w14:textId="11F36B19" w:rsidR="00CA2C8F" w:rsidRPr="005034FF" w:rsidRDefault="00CA2C8F" w:rsidP="00F43B3E">
      <w:pPr>
        <w:pStyle w:val="EndnoteText"/>
        <w:spacing w:after="240"/>
      </w:pPr>
      <w:r>
        <w:rPr>
          <w:rStyle w:val="EndnoteReference"/>
        </w:rPr>
        <w:endnoteRef/>
      </w:r>
      <w:r>
        <w:t xml:space="preserve"> </w:t>
      </w:r>
      <w:r>
        <w:rPr>
          <w:i/>
          <w:iCs/>
        </w:rPr>
        <w:t xml:space="preserve">See </w:t>
      </w:r>
      <w:r w:rsidR="007E78A5" w:rsidRPr="007E78A5">
        <w:t>Robert M. Bohm</w:t>
      </w:r>
      <w:r w:rsidR="007E78A5">
        <w:t xml:space="preserve">, </w:t>
      </w:r>
      <w:r w:rsidR="007E78A5" w:rsidRPr="007E78A5">
        <w:rPr>
          <w:i/>
          <w:iCs/>
        </w:rPr>
        <w:t>"McJustice": On the McDonaldization of Criminal Justice</w:t>
      </w:r>
      <w:r w:rsidR="007E78A5">
        <w:t xml:space="preserve">, </w:t>
      </w:r>
      <w:r w:rsidR="003968A8">
        <w:t xml:space="preserve">23 </w:t>
      </w:r>
      <w:r w:rsidR="003968A8" w:rsidRPr="003968A8">
        <w:rPr>
          <w:smallCaps/>
        </w:rPr>
        <w:t>Just</w:t>
      </w:r>
      <w:r w:rsidR="00253DE2">
        <w:rPr>
          <w:smallCaps/>
        </w:rPr>
        <w:t>.</w:t>
      </w:r>
      <w:r w:rsidR="003968A8" w:rsidRPr="003968A8">
        <w:rPr>
          <w:smallCaps/>
        </w:rPr>
        <w:t xml:space="preserve"> Q</w:t>
      </w:r>
      <w:r w:rsidR="00253DE2">
        <w:rPr>
          <w:smallCaps/>
        </w:rPr>
        <w:t>.</w:t>
      </w:r>
      <w:r w:rsidR="003968A8">
        <w:rPr>
          <w:smallCaps/>
        </w:rPr>
        <w:t xml:space="preserve"> 1</w:t>
      </w:r>
      <w:r w:rsidR="00B4525B">
        <w:rPr>
          <w:smallCaps/>
        </w:rPr>
        <w:t>27 (2006)</w:t>
      </w:r>
      <w:r w:rsidR="00253DE2">
        <w:rPr>
          <w:smallCaps/>
        </w:rPr>
        <w:t xml:space="preserve"> </w:t>
      </w:r>
      <w:r w:rsidR="005034FF">
        <w:rPr>
          <w:smallCaps/>
        </w:rPr>
        <w:t>(</w:t>
      </w:r>
      <w:r w:rsidR="005034FF">
        <w:t xml:space="preserve">describing </w:t>
      </w:r>
      <w:r w:rsidR="00C43058">
        <w:t xml:space="preserve">criminal </w:t>
      </w:r>
      <w:r w:rsidR="005034FF">
        <w:t xml:space="preserve">case processing as </w:t>
      </w:r>
      <w:r w:rsidR="004E714D">
        <w:t xml:space="preserve">akin to institutions </w:t>
      </w:r>
      <w:r w:rsidR="006B59AE">
        <w:t xml:space="preserve">like McDonalds that </w:t>
      </w:r>
      <w:r w:rsidR="00355F7F">
        <w:t xml:space="preserve">place high </w:t>
      </w:r>
      <w:r w:rsidR="006B59AE">
        <w:t xml:space="preserve">value </w:t>
      </w:r>
      <w:r w:rsidR="00355F7F">
        <w:t xml:space="preserve">on </w:t>
      </w:r>
      <w:r w:rsidR="00FB3A4B">
        <w:t>control</w:t>
      </w:r>
      <w:r w:rsidR="00C8531B">
        <w:t xml:space="preserve">, predictability and efficiency </w:t>
      </w:r>
      <w:r w:rsidR="00355F7F">
        <w:t xml:space="preserve">to </w:t>
      </w:r>
      <w:r w:rsidR="00C83E13">
        <w:t>handle demand</w:t>
      </w:r>
      <w:r w:rsidR="00BE57F8">
        <w:t>)</w:t>
      </w:r>
      <w:r w:rsidR="00355F7F">
        <w:t xml:space="preserve">. </w:t>
      </w:r>
    </w:p>
  </w:endnote>
  <w:endnote w:id="35">
    <w:p w14:paraId="219C16F5" w14:textId="18737A8F" w:rsidR="002B22C8" w:rsidRPr="00992FFB" w:rsidRDefault="002B22C8" w:rsidP="00F43B3E">
      <w:pPr>
        <w:pStyle w:val="EndnoteText"/>
        <w:spacing w:after="240"/>
        <w:rPr>
          <w:i/>
          <w:iCs/>
        </w:rPr>
      </w:pPr>
      <w:r>
        <w:rPr>
          <w:rStyle w:val="EndnoteReference"/>
        </w:rPr>
        <w:endnoteRef/>
      </w:r>
      <w:r>
        <w:t xml:space="preserve"> </w:t>
      </w:r>
      <w:r w:rsidR="00992FFB" w:rsidRPr="003F0938">
        <w:rPr>
          <w:smallCaps/>
        </w:rPr>
        <w:t xml:space="preserve">Alexandra Natapoff, </w:t>
      </w:r>
      <w:r w:rsidR="003A7EF4" w:rsidRPr="003F0938">
        <w:rPr>
          <w:smallCaps/>
        </w:rPr>
        <w:t>Punishment Without Crime: How Our Massive Misdemeanor System Traps the Innocent and Makes America More Unequal</w:t>
      </w:r>
      <w:r w:rsidR="001C2DE7">
        <w:t xml:space="preserve"> 213 (</w:t>
      </w:r>
      <w:r w:rsidR="003F0938">
        <w:t>1st ed. 2018).</w:t>
      </w:r>
    </w:p>
  </w:endnote>
  <w:endnote w:id="36">
    <w:p w14:paraId="43BA6F5B" w14:textId="22FBC1DC" w:rsidR="00B8721B" w:rsidRPr="00B8721B" w:rsidRDefault="00B8721B" w:rsidP="00F43B3E">
      <w:pPr>
        <w:pStyle w:val="EndnoteText"/>
        <w:spacing w:after="240"/>
      </w:pPr>
      <w:r>
        <w:rPr>
          <w:rStyle w:val="EndnoteReference"/>
        </w:rPr>
        <w:endnoteRef/>
      </w:r>
      <w:r>
        <w:t xml:space="preserve"> </w:t>
      </w:r>
      <w:r>
        <w:rPr>
          <w:i/>
          <w:iCs/>
        </w:rPr>
        <w:t>Id.</w:t>
      </w:r>
      <w:r>
        <w:t xml:space="preserve">at </w:t>
      </w:r>
      <w:r w:rsidR="00A12486">
        <w:t xml:space="preserve">212. </w:t>
      </w:r>
    </w:p>
  </w:endnote>
  <w:endnote w:id="37">
    <w:p w14:paraId="0A5264E6" w14:textId="6E3AEE85" w:rsidR="003B5F48" w:rsidRPr="001C7CDE" w:rsidRDefault="003B5F48" w:rsidP="00F43B3E">
      <w:pPr>
        <w:pStyle w:val="EndnoteText"/>
        <w:spacing w:after="240"/>
      </w:pPr>
      <w:r>
        <w:rPr>
          <w:rStyle w:val="EndnoteReference"/>
        </w:rPr>
        <w:endnoteRef/>
      </w:r>
      <w:r>
        <w:t xml:space="preserve"> </w:t>
      </w:r>
      <w:r w:rsidR="001C7CDE">
        <w:t xml:space="preserve">Albert W. Alschuler, </w:t>
      </w:r>
      <w:r w:rsidR="001C7CDE" w:rsidRPr="00691247">
        <w:rPr>
          <w:i/>
          <w:iCs/>
        </w:rPr>
        <w:t>A Nearly Perfect System for Convicting the Innocent</w:t>
      </w:r>
      <w:r w:rsidR="001C7CDE">
        <w:t xml:space="preserve">, </w:t>
      </w:r>
      <w:r w:rsidR="00136559">
        <w:t xml:space="preserve">79 </w:t>
      </w:r>
      <w:r w:rsidR="001C7CDE">
        <w:t>Alb</w:t>
      </w:r>
      <w:r w:rsidR="00830A2E">
        <w:t>.</w:t>
      </w:r>
      <w:r w:rsidR="001C7CDE">
        <w:t xml:space="preserve"> L.</w:t>
      </w:r>
      <w:r w:rsidR="00C54DDA">
        <w:t xml:space="preserve"> </w:t>
      </w:r>
      <w:r w:rsidR="001C7CDE">
        <w:t>R.</w:t>
      </w:r>
      <w:r w:rsidR="00136559">
        <w:t xml:space="preserve"> 919 (2017). </w:t>
      </w:r>
    </w:p>
  </w:endnote>
  <w:endnote w:id="38">
    <w:p w14:paraId="1E24D889" w14:textId="34C3943A" w:rsidR="00923317" w:rsidRPr="001C4358" w:rsidRDefault="00923317" w:rsidP="00F43B3E">
      <w:pPr>
        <w:pStyle w:val="EndnoteText"/>
        <w:spacing w:after="240"/>
      </w:pPr>
      <w:r>
        <w:rPr>
          <w:rStyle w:val="EndnoteReference"/>
        </w:rPr>
        <w:endnoteRef/>
      </w:r>
      <w:r>
        <w:t xml:space="preserve"> </w:t>
      </w:r>
      <w:r w:rsidR="0046357E">
        <w:rPr>
          <w:i/>
          <w:iCs/>
        </w:rPr>
        <w:t>Erma Faye Stewart and Regina Kelly</w:t>
      </w:r>
      <w:r w:rsidR="0046357E">
        <w:t>,</w:t>
      </w:r>
      <w:r w:rsidR="0046357E">
        <w:rPr>
          <w:i/>
          <w:iCs/>
        </w:rPr>
        <w:t xml:space="preserve"> </w:t>
      </w:r>
      <w:r w:rsidR="00E07C5C" w:rsidRPr="0046357E">
        <w:rPr>
          <w:smallCaps/>
        </w:rPr>
        <w:t>Frontline: The Plea</w:t>
      </w:r>
      <w:r w:rsidR="007069A2">
        <w:t xml:space="preserve"> (June 17, 2004), </w:t>
      </w:r>
      <w:r w:rsidR="0080729C" w:rsidRPr="0080729C">
        <w:t>https://www.pbs.org/wgbh/pages/frontline/shows/plea/four/stewart.html</w:t>
      </w:r>
      <w:r w:rsidR="0080729C">
        <w:t xml:space="preserve">; </w:t>
      </w:r>
      <w:r w:rsidR="0080729C">
        <w:rPr>
          <w:i/>
          <w:iCs/>
        </w:rPr>
        <w:t>see also</w:t>
      </w:r>
      <w:r w:rsidR="0080729C">
        <w:t xml:space="preserve"> </w:t>
      </w:r>
      <w:r w:rsidR="001C4358" w:rsidRPr="001C4358">
        <w:rPr>
          <w:smallCaps/>
        </w:rPr>
        <w:t>Alexander</w:t>
      </w:r>
      <w:r w:rsidR="001C4358">
        <w:t xml:space="preserve">, </w:t>
      </w:r>
      <w:r w:rsidR="001C4358">
        <w:rPr>
          <w:i/>
          <w:iCs/>
        </w:rPr>
        <w:t>supra</w:t>
      </w:r>
      <w:r w:rsidR="001C4358">
        <w:t xml:space="preserve"> at 97.</w:t>
      </w:r>
    </w:p>
  </w:endnote>
  <w:endnote w:id="39">
    <w:p w14:paraId="74BE97EA" w14:textId="7BDCF8A6" w:rsidR="003C6EDC" w:rsidRPr="00590065" w:rsidRDefault="003C6EDC" w:rsidP="00F43B3E">
      <w:pPr>
        <w:pStyle w:val="EndnoteText"/>
        <w:spacing w:after="240"/>
      </w:pPr>
      <w:r>
        <w:rPr>
          <w:rStyle w:val="EndnoteReference"/>
        </w:rPr>
        <w:endnoteRef/>
      </w:r>
      <w:r>
        <w:t xml:space="preserve"> Lindsey Devers, </w:t>
      </w:r>
      <w:r>
        <w:rPr>
          <w:i/>
          <w:iCs/>
        </w:rPr>
        <w:t>Research Summary: Plea and Charge Bargaining</w:t>
      </w:r>
      <w:r>
        <w:t xml:space="preserve">, </w:t>
      </w:r>
      <w:r w:rsidRPr="00CA14F8">
        <w:rPr>
          <w:smallCaps/>
        </w:rPr>
        <w:t xml:space="preserve">U.S. </w:t>
      </w:r>
      <w:r>
        <w:rPr>
          <w:smallCaps/>
        </w:rPr>
        <w:t>Dep’t of Justice,</w:t>
      </w:r>
      <w:r>
        <w:t xml:space="preserve"> </w:t>
      </w:r>
      <w:r w:rsidRPr="00CA14F8">
        <w:rPr>
          <w:smallCaps/>
        </w:rPr>
        <w:t>Bureau of Just</w:t>
      </w:r>
      <w:r>
        <w:rPr>
          <w:smallCaps/>
        </w:rPr>
        <w:t xml:space="preserve">ice </w:t>
      </w:r>
      <w:r w:rsidRPr="00CA14F8">
        <w:rPr>
          <w:smallCaps/>
        </w:rPr>
        <w:t>Assistance</w:t>
      </w:r>
      <w:r>
        <w:rPr>
          <w:smallCaps/>
        </w:rPr>
        <w:t xml:space="preserve"> 2 (</w:t>
      </w:r>
      <w:r>
        <w:t xml:space="preserve">Jan. 24, 2011), </w:t>
      </w:r>
      <w:r w:rsidRPr="00225808">
        <w:t xml:space="preserve">https://bja.ojp.gov/sites/g/files/xyckuh186/files/media/document/PleaBargainingResearchSummary.pdf </w:t>
      </w:r>
      <w:r>
        <w:t xml:space="preserve">(citing Kellough, G., and Wortley, S., </w:t>
      </w:r>
      <w:r w:rsidRPr="00DD6486">
        <w:rPr>
          <w:i/>
          <w:iCs/>
        </w:rPr>
        <w:t>Remand for plea: Bail decisions and plea bargaining as commensurate decision</w:t>
      </w:r>
      <w:r>
        <w:t>s</w:t>
      </w:r>
      <w:r>
        <w:rPr>
          <w:i/>
          <w:iCs/>
        </w:rPr>
        <w:t xml:space="preserve">, </w:t>
      </w:r>
      <w:r w:rsidR="006C0C12">
        <w:t xml:space="preserve">42 </w:t>
      </w:r>
      <w:r w:rsidRPr="00DD6486">
        <w:rPr>
          <w:smallCaps/>
        </w:rPr>
        <w:t>British Journal of Criminology</w:t>
      </w:r>
      <w:r>
        <w:t xml:space="preserve"> 186 (2002))</w:t>
      </w:r>
      <w:r w:rsidR="007422BC">
        <w:t xml:space="preserve">. </w:t>
      </w:r>
    </w:p>
  </w:endnote>
  <w:endnote w:id="40">
    <w:p w14:paraId="18F2D97F" w14:textId="08307CD9" w:rsidR="00B953C0" w:rsidRPr="00B953C0" w:rsidRDefault="00B953C0" w:rsidP="00F43B3E">
      <w:pPr>
        <w:pStyle w:val="EndnoteText"/>
        <w:spacing w:after="240"/>
      </w:pPr>
      <w:r>
        <w:rPr>
          <w:rStyle w:val="EndnoteReference"/>
        </w:rPr>
        <w:endnoteRef/>
      </w:r>
      <w:r>
        <w:t xml:space="preserve"> </w:t>
      </w:r>
      <w:r>
        <w:rPr>
          <w:i/>
          <w:iCs/>
        </w:rPr>
        <w:t xml:space="preserve">See </w:t>
      </w:r>
      <w:r w:rsidRPr="00B953C0">
        <w:rPr>
          <w:smallCaps/>
        </w:rPr>
        <w:t>Natapoff</w:t>
      </w:r>
      <w:r>
        <w:rPr>
          <w:smallCaps/>
        </w:rPr>
        <w:t xml:space="preserve">, </w:t>
      </w:r>
      <w:r w:rsidRPr="00B953C0">
        <w:rPr>
          <w:i/>
          <w:iCs/>
        </w:rPr>
        <w:t>supra</w:t>
      </w:r>
      <w:r>
        <w:t xml:space="preserve"> at </w:t>
      </w:r>
      <w:r w:rsidR="001769C4">
        <w:t xml:space="preserve">109-10. </w:t>
      </w:r>
    </w:p>
  </w:endnote>
  <w:endnote w:id="41">
    <w:p w14:paraId="65C8B6C8" w14:textId="7FF6BE3A" w:rsidR="00B21D3E" w:rsidRPr="005142B0" w:rsidRDefault="00B21D3E" w:rsidP="00F43B3E">
      <w:pPr>
        <w:pStyle w:val="EndnoteText"/>
        <w:spacing w:after="240"/>
      </w:pPr>
      <w:r>
        <w:rPr>
          <w:rStyle w:val="EndnoteReference"/>
        </w:rPr>
        <w:endnoteRef/>
      </w:r>
      <w:r>
        <w:t xml:space="preserve"> </w:t>
      </w:r>
      <w:r w:rsidR="005142B0">
        <w:rPr>
          <w:i/>
          <w:iCs/>
        </w:rPr>
        <w:t>Id.</w:t>
      </w:r>
      <w:r w:rsidR="005142B0">
        <w:t xml:space="preserve"> at 5. </w:t>
      </w:r>
    </w:p>
  </w:endnote>
  <w:endnote w:id="42">
    <w:p w14:paraId="2628B024" w14:textId="77777777" w:rsidR="00B637FA" w:rsidRDefault="00B637FA" w:rsidP="00F43B3E">
      <w:pPr>
        <w:pStyle w:val="EndnoteText"/>
        <w:spacing w:after="240"/>
      </w:pPr>
      <w:r>
        <w:rPr>
          <w:rStyle w:val="EndnoteReference"/>
        </w:rPr>
        <w:endnoteRef/>
      </w:r>
      <w:r>
        <w:t xml:space="preserve"> Emma Andersson &amp; Jeffery Robinson, </w:t>
      </w:r>
      <w:r w:rsidRPr="00ED7366">
        <w:rPr>
          <w:i/>
          <w:iCs/>
        </w:rPr>
        <w:t>The Insidious Injustice of the Trial Penalty: “It is not the intensity but the duration of pain that breaks the will to resist</w:t>
      </w:r>
      <w:r>
        <w:rPr>
          <w:i/>
          <w:iCs/>
        </w:rPr>
        <w:t>,</w:t>
      </w:r>
      <w:r w:rsidRPr="00ED7366">
        <w:rPr>
          <w:i/>
          <w:iCs/>
        </w:rPr>
        <w:t>”</w:t>
      </w:r>
      <w:r>
        <w:t xml:space="preserve"> 31 </w:t>
      </w:r>
      <w:r w:rsidRPr="007614F8">
        <w:rPr>
          <w:smallCaps/>
        </w:rPr>
        <w:t>Fed. Sent’g Rep</w:t>
      </w:r>
      <w:r>
        <w:t xml:space="preserve">. 222, 223 (2019). </w:t>
      </w:r>
    </w:p>
  </w:endnote>
  <w:endnote w:id="43">
    <w:p w14:paraId="1E8FF8F9" w14:textId="787DBCF4" w:rsidR="0021747F" w:rsidRPr="0021747F" w:rsidRDefault="0021747F" w:rsidP="00F43B3E">
      <w:pPr>
        <w:pStyle w:val="EndnoteText"/>
        <w:spacing w:after="240"/>
      </w:pPr>
      <w:r>
        <w:rPr>
          <w:rStyle w:val="EndnoteReference"/>
        </w:rPr>
        <w:endnoteRef/>
      </w:r>
      <w:r>
        <w:t xml:space="preserve"> </w:t>
      </w:r>
      <w:r>
        <w:rPr>
          <w:i/>
          <w:iCs/>
        </w:rPr>
        <w:t>Id.</w:t>
      </w:r>
    </w:p>
  </w:endnote>
  <w:endnote w:id="44">
    <w:p w14:paraId="3E2E1EF4" w14:textId="77777777" w:rsidR="00B53E8A" w:rsidRDefault="00B53E8A" w:rsidP="00F43B3E">
      <w:pPr>
        <w:pStyle w:val="EndnoteText"/>
        <w:spacing w:after="240"/>
      </w:pPr>
      <w:r>
        <w:rPr>
          <w:rStyle w:val="EndnoteReference"/>
        </w:rPr>
        <w:endnoteRef/>
      </w:r>
      <w:r>
        <w:t xml:space="preserve"> </w:t>
      </w:r>
      <w:r>
        <w:rPr>
          <w:i/>
          <w:iCs/>
        </w:rPr>
        <w:t xml:space="preserve">See </w:t>
      </w:r>
      <w:r>
        <w:rPr>
          <w:smallCaps/>
        </w:rPr>
        <w:t xml:space="preserve">Alexander, </w:t>
      </w:r>
      <w:r>
        <w:rPr>
          <w:i/>
          <w:iCs/>
        </w:rPr>
        <w:t xml:space="preserve">supra </w:t>
      </w:r>
      <w:r>
        <w:t xml:space="preserve">at 117 (describing the </w:t>
      </w:r>
      <w:r w:rsidRPr="009D2D5B">
        <w:t xml:space="preserve">1991 </w:t>
      </w:r>
      <w:r w:rsidRPr="000A7C49">
        <w:rPr>
          <w:i/>
          <w:iCs/>
        </w:rPr>
        <w:t>San Jose Mercury News</w:t>
      </w:r>
      <w:r w:rsidRPr="009D2D5B">
        <w:t xml:space="preserve"> study</w:t>
      </w:r>
      <w:r>
        <w:t>).</w:t>
      </w:r>
    </w:p>
  </w:endnote>
  <w:endnote w:id="45">
    <w:p w14:paraId="7BBF1C7C" w14:textId="5CE94BE0" w:rsidR="00B53E8A" w:rsidRPr="004C5824" w:rsidRDefault="00B53E8A" w:rsidP="00F43B3E">
      <w:pPr>
        <w:pStyle w:val="EndnoteText"/>
        <w:spacing w:after="240"/>
      </w:pPr>
      <w:r>
        <w:rPr>
          <w:rStyle w:val="EndnoteReference"/>
        </w:rPr>
        <w:endnoteRef/>
      </w:r>
      <w:r>
        <w:t xml:space="preserve"> </w:t>
      </w:r>
      <w:r w:rsidR="004C5824">
        <w:rPr>
          <w:i/>
          <w:iCs/>
        </w:rPr>
        <w:t xml:space="preserve">Id. </w:t>
      </w:r>
      <w:r w:rsidR="004C5824" w:rsidRPr="004C5824">
        <w:t xml:space="preserve">(quoting Christopher Schmitt, “Plea Bargaining Favors Whites, as Blacks, Hispanics Pay Price,” </w:t>
      </w:r>
      <w:r w:rsidR="004C5824" w:rsidRPr="004C5824">
        <w:rPr>
          <w:smallCaps/>
        </w:rPr>
        <w:t>San Jose Mercury News</w:t>
      </w:r>
      <w:r w:rsidR="004C5824" w:rsidRPr="004C5824">
        <w:t xml:space="preserve"> </w:t>
      </w:r>
      <w:r w:rsidR="004C5824">
        <w:t>(</w:t>
      </w:r>
      <w:r w:rsidR="004C5824" w:rsidRPr="004C5824">
        <w:t>Dec. 8, 1991</w:t>
      </w:r>
      <w:r w:rsidR="004C5824">
        <w:t>)</w:t>
      </w:r>
      <w:r w:rsidR="004C5824" w:rsidRPr="004C5824">
        <w:t>).</w:t>
      </w:r>
    </w:p>
  </w:endnote>
  <w:endnote w:id="46">
    <w:p w14:paraId="6784B8B8" w14:textId="7AB8AD75" w:rsidR="003A2C5C" w:rsidRPr="008A20B3" w:rsidRDefault="003A2C5C" w:rsidP="00F43B3E">
      <w:pPr>
        <w:pStyle w:val="EndnoteText"/>
        <w:spacing w:after="240"/>
        <w:rPr>
          <w:iCs/>
        </w:rPr>
      </w:pPr>
      <w:r>
        <w:rPr>
          <w:rStyle w:val="EndnoteReference"/>
        </w:rPr>
        <w:endnoteRef/>
      </w:r>
      <w:r>
        <w:t xml:space="preserve"> </w:t>
      </w:r>
      <w:r w:rsidR="00B16BFB">
        <w:t>Carols Berd</w:t>
      </w:r>
      <w:r w:rsidR="00B16BFB">
        <w:rPr>
          <w:iCs/>
        </w:rPr>
        <w:t>ej</w:t>
      </w:r>
      <w:r w:rsidR="00FA6520">
        <w:rPr>
          <w:iCs/>
        </w:rPr>
        <w:t>ó</w:t>
      </w:r>
      <w:r w:rsidR="00FC148E">
        <w:rPr>
          <w:iCs/>
        </w:rPr>
        <w:t xml:space="preserve">, </w:t>
      </w:r>
      <w:r w:rsidR="00FC148E">
        <w:rPr>
          <w:i/>
        </w:rPr>
        <w:t>Criminalizing Race</w:t>
      </w:r>
      <w:r w:rsidR="008A20B3">
        <w:rPr>
          <w:i/>
        </w:rPr>
        <w:t>: Racial Disparities in Plea-Bargaining</w:t>
      </w:r>
      <w:r w:rsidR="008A20B3">
        <w:rPr>
          <w:iCs/>
        </w:rPr>
        <w:t>, 59 B</w:t>
      </w:r>
      <w:r w:rsidR="00C54DDA">
        <w:rPr>
          <w:iCs/>
        </w:rPr>
        <w:t>.</w:t>
      </w:r>
      <w:r w:rsidR="008A20B3">
        <w:rPr>
          <w:iCs/>
        </w:rPr>
        <w:t>C</w:t>
      </w:r>
      <w:r w:rsidR="00C54DDA">
        <w:rPr>
          <w:iCs/>
        </w:rPr>
        <w:t xml:space="preserve">. </w:t>
      </w:r>
      <w:r w:rsidR="008A20B3">
        <w:rPr>
          <w:iCs/>
        </w:rPr>
        <w:t>L</w:t>
      </w:r>
      <w:r w:rsidR="00C54DDA">
        <w:rPr>
          <w:iCs/>
        </w:rPr>
        <w:t xml:space="preserve">. </w:t>
      </w:r>
      <w:r w:rsidR="008A20B3">
        <w:rPr>
          <w:iCs/>
        </w:rPr>
        <w:t>R</w:t>
      </w:r>
      <w:r w:rsidR="00C54DDA">
        <w:rPr>
          <w:iCs/>
        </w:rPr>
        <w:t>.</w:t>
      </w:r>
      <w:r w:rsidR="000F1268">
        <w:rPr>
          <w:iCs/>
        </w:rPr>
        <w:t xml:space="preserve"> 1187, 1215 (</w:t>
      </w:r>
      <w:r w:rsidR="00292BA4">
        <w:rPr>
          <w:iCs/>
        </w:rPr>
        <w:t xml:space="preserve">2018). </w:t>
      </w:r>
    </w:p>
  </w:endnote>
  <w:endnote w:id="47">
    <w:p w14:paraId="2C6EDD01" w14:textId="1373A29A" w:rsidR="006D1A36" w:rsidRPr="006D1A36" w:rsidRDefault="006D1A36" w:rsidP="00F43B3E">
      <w:pPr>
        <w:pStyle w:val="EndnoteText"/>
        <w:spacing w:after="240"/>
      </w:pPr>
      <w:r>
        <w:rPr>
          <w:rStyle w:val="EndnoteReference"/>
        </w:rPr>
        <w:endnoteRef/>
      </w:r>
      <w:r>
        <w:t xml:space="preserve"> </w:t>
      </w:r>
      <w:r>
        <w:rPr>
          <w:i/>
          <w:iCs/>
        </w:rPr>
        <w:t xml:space="preserve">Id. </w:t>
      </w:r>
      <w:r>
        <w:t>at 12</w:t>
      </w:r>
      <w:r w:rsidR="00E56CC7">
        <w:t xml:space="preserve">16. </w:t>
      </w:r>
    </w:p>
  </w:endnote>
  <w:endnote w:id="48">
    <w:p w14:paraId="0BA9CE5E" w14:textId="77777777" w:rsidR="0065167D" w:rsidRDefault="0065167D" w:rsidP="00F43B3E">
      <w:pPr>
        <w:pStyle w:val="EndnoteText"/>
        <w:spacing w:after="240"/>
      </w:pPr>
      <w:r>
        <w:rPr>
          <w:rStyle w:val="EndnoteReference"/>
        </w:rPr>
        <w:endnoteRef/>
      </w:r>
      <w:r>
        <w:t xml:space="preserve"> </w:t>
      </w:r>
      <w:r w:rsidRPr="000B2917">
        <w:rPr>
          <w:smallCaps/>
        </w:rPr>
        <w:t>V</w:t>
      </w:r>
      <w:r>
        <w:rPr>
          <w:smallCaps/>
        </w:rPr>
        <w:t>t.</w:t>
      </w:r>
      <w:r w:rsidRPr="000B2917">
        <w:rPr>
          <w:smallCaps/>
        </w:rPr>
        <w:t xml:space="preserve"> Judiciary, Ann. Stat. Rep. FY19</w:t>
      </w:r>
      <w:r>
        <w:t xml:space="preserve"> 41 (2019),  </w:t>
      </w:r>
      <w:r w:rsidRPr="00A15871">
        <w:t>https://www.vermontjudiciary.org/sites/default/files/documents/FY19%20Statistics%20Report%20-%20FINAL.pdf</w:t>
      </w:r>
      <w:r>
        <w:t xml:space="preserve">. </w:t>
      </w:r>
    </w:p>
  </w:endnote>
  <w:endnote w:id="49">
    <w:p w14:paraId="10931CB6" w14:textId="11960FC5" w:rsidR="00056107" w:rsidRPr="00056107" w:rsidRDefault="00056107" w:rsidP="00F43B3E">
      <w:pPr>
        <w:pStyle w:val="EndnoteText"/>
        <w:spacing w:after="240"/>
        <w:rPr>
          <w:i/>
          <w:iCs/>
        </w:rPr>
      </w:pPr>
      <w:r>
        <w:rPr>
          <w:rStyle w:val="EndnoteReference"/>
        </w:rPr>
        <w:endnoteRef/>
      </w:r>
      <w:r>
        <w:t xml:space="preserve"> </w:t>
      </w:r>
      <w:r>
        <w:rPr>
          <w:i/>
          <w:iCs/>
        </w:rPr>
        <w:t>Id.</w:t>
      </w:r>
    </w:p>
  </w:endnote>
  <w:endnote w:id="50">
    <w:p w14:paraId="5DE638A1" w14:textId="206F722A" w:rsidR="0082620E" w:rsidRPr="0082620E" w:rsidRDefault="0082620E" w:rsidP="00F43B3E">
      <w:pPr>
        <w:pStyle w:val="EndnoteText"/>
        <w:spacing w:after="240"/>
      </w:pPr>
      <w:r>
        <w:rPr>
          <w:rStyle w:val="EndnoteReference"/>
        </w:rPr>
        <w:endnoteRef/>
      </w:r>
      <w:r>
        <w:t xml:space="preserve"> </w:t>
      </w:r>
      <w:r>
        <w:rPr>
          <w:i/>
          <w:iCs/>
        </w:rPr>
        <w:t>Id.</w:t>
      </w:r>
    </w:p>
  </w:endnote>
  <w:endnote w:id="51">
    <w:p w14:paraId="50B57BE3" w14:textId="46149A39" w:rsidR="00AA15BA" w:rsidRPr="00E1554B" w:rsidRDefault="00AA15BA" w:rsidP="00F43B3E">
      <w:pPr>
        <w:pStyle w:val="EndnoteText"/>
        <w:spacing w:after="240"/>
      </w:pPr>
      <w:r>
        <w:rPr>
          <w:rStyle w:val="EndnoteReference"/>
        </w:rPr>
        <w:endnoteRef/>
      </w:r>
      <w:r>
        <w:t xml:space="preserve"> </w:t>
      </w:r>
      <w:r w:rsidR="00FA1945">
        <w:t xml:space="preserve">Mark Hughes and Ashley Nellis, Ph.D., </w:t>
      </w:r>
      <w:r w:rsidR="00E1554B">
        <w:rPr>
          <w:i/>
          <w:iCs/>
        </w:rPr>
        <w:t>Racial Disparities in Vermont Prisons</w:t>
      </w:r>
      <w:r w:rsidR="00E1554B">
        <w:t xml:space="preserve">, </w:t>
      </w:r>
      <w:r w:rsidR="00E1554B" w:rsidRPr="003C7954">
        <w:rPr>
          <w:smallCaps/>
        </w:rPr>
        <w:t>Justice for All</w:t>
      </w:r>
      <w:r w:rsidR="00E1554B">
        <w:t xml:space="preserve"> (Feb. 6, 2017)</w:t>
      </w:r>
      <w:r w:rsidR="003C7954">
        <w:t xml:space="preserve">, </w:t>
      </w:r>
      <w:r w:rsidR="003C7954" w:rsidRPr="003C7954">
        <w:t>https://justiceforallvt.org/2017/02/06/788/</w:t>
      </w:r>
      <w:r w:rsidR="003C7954">
        <w:t xml:space="preserve">. </w:t>
      </w:r>
    </w:p>
  </w:endnote>
  <w:endnote w:id="52">
    <w:p w14:paraId="70A5F069" w14:textId="696D5823" w:rsidR="005E5250" w:rsidRPr="00A16DF9" w:rsidRDefault="005E5250" w:rsidP="00F43B3E">
      <w:pPr>
        <w:pStyle w:val="EndnoteText"/>
        <w:spacing w:after="240"/>
      </w:pPr>
      <w:r>
        <w:rPr>
          <w:rStyle w:val="EndnoteReference"/>
        </w:rPr>
        <w:endnoteRef/>
      </w:r>
      <w:r>
        <w:t xml:space="preserve"> </w:t>
      </w:r>
      <w:r w:rsidR="00A16DF9">
        <w:rPr>
          <w:i/>
          <w:iCs/>
        </w:rPr>
        <w:t>Vermont Profile</w:t>
      </w:r>
      <w:r w:rsidR="00A16DF9">
        <w:t xml:space="preserve">, </w:t>
      </w:r>
      <w:r w:rsidR="00A16DF9" w:rsidRPr="00322633">
        <w:rPr>
          <w:smallCaps/>
        </w:rPr>
        <w:t>Prison Policy Initiative</w:t>
      </w:r>
      <w:r w:rsidR="00322633">
        <w:t xml:space="preserve">, </w:t>
      </w:r>
      <w:r w:rsidR="00322633" w:rsidRPr="00322633">
        <w:t>https://www.prisonpolicy.org/profiles/VT.html</w:t>
      </w:r>
      <w:r w:rsidR="00322633">
        <w:t xml:space="preserve">. </w:t>
      </w:r>
    </w:p>
  </w:endnote>
  <w:endnote w:id="53">
    <w:p w14:paraId="400536D5" w14:textId="754932BB" w:rsidR="00314273" w:rsidRDefault="00314273" w:rsidP="00F43B3E">
      <w:pPr>
        <w:pStyle w:val="EndnoteText"/>
        <w:spacing w:after="240"/>
      </w:pPr>
      <w:r>
        <w:rPr>
          <w:rStyle w:val="EndnoteReference"/>
        </w:rPr>
        <w:endnoteRef/>
      </w:r>
      <w:r>
        <w:t xml:space="preserve"> </w:t>
      </w:r>
      <w:r w:rsidR="00BF50FC" w:rsidRPr="004654DB">
        <w:rPr>
          <w:smallCaps/>
        </w:rPr>
        <w:t>Vt. Complication of Collateral Consequences</w:t>
      </w:r>
      <w:r w:rsidR="00BF50FC">
        <w:t xml:space="preserve">, </w:t>
      </w:r>
      <w:r w:rsidR="004654DB" w:rsidRPr="004654DB">
        <w:t>http://vermont.ccresourcecenter.org/</w:t>
      </w:r>
      <w:r w:rsidR="004654DB">
        <w:t xml:space="preserve">. </w:t>
      </w:r>
    </w:p>
  </w:endnote>
  <w:endnote w:id="54">
    <w:p w14:paraId="01D1D49A" w14:textId="2A8269DA" w:rsidR="00CE19C3" w:rsidRPr="00CE19C3" w:rsidRDefault="00CE19C3" w:rsidP="00F43B3E">
      <w:pPr>
        <w:pStyle w:val="EndnoteText"/>
        <w:spacing w:after="240"/>
      </w:pPr>
      <w:r>
        <w:rPr>
          <w:rStyle w:val="EndnoteReference"/>
        </w:rPr>
        <w:endnoteRef/>
      </w:r>
      <w:r>
        <w:t xml:space="preserve"> </w:t>
      </w:r>
      <w:r>
        <w:rPr>
          <w:i/>
          <w:iCs/>
        </w:rPr>
        <w:t>Id</w:t>
      </w:r>
      <w:r>
        <w:t xml:space="preserve">. </w:t>
      </w:r>
    </w:p>
  </w:endnote>
  <w:endnote w:id="55">
    <w:p w14:paraId="20BB68B4" w14:textId="1F3A5140" w:rsidR="00AE6C17" w:rsidRDefault="00AE6C17" w:rsidP="00F43B3E">
      <w:pPr>
        <w:pStyle w:val="EndnoteText"/>
        <w:spacing w:after="240"/>
      </w:pPr>
      <w:r>
        <w:rPr>
          <w:rStyle w:val="EndnoteReference"/>
        </w:rPr>
        <w:endnoteRef/>
      </w:r>
      <w:r>
        <w:t xml:space="preserve"> </w:t>
      </w:r>
      <w:r w:rsidR="00124821">
        <w:t xml:space="preserve">Devin Bates, </w:t>
      </w:r>
      <w:r w:rsidR="00124821" w:rsidRPr="00124821">
        <w:rPr>
          <w:i/>
          <w:iCs/>
        </w:rPr>
        <w:t>Chittenden County State’s Attorney eliminates cash bail requirement; urges statewide action</w:t>
      </w:r>
      <w:r w:rsidR="00D366B0">
        <w:t xml:space="preserve">, </w:t>
      </w:r>
      <w:r w:rsidR="00A51D8E" w:rsidRPr="00A51D8E">
        <w:rPr>
          <w:smallCaps/>
        </w:rPr>
        <w:t>Nexstar B</w:t>
      </w:r>
      <w:r w:rsidR="0099623F">
        <w:rPr>
          <w:smallCaps/>
        </w:rPr>
        <w:t>r</w:t>
      </w:r>
      <w:r w:rsidR="00A51D8E" w:rsidRPr="00A51D8E">
        <w:rPr>
          <w:smallCaps/>
        </w:rPr>
        <w:t>oadcasting, Inc.</w:t>
      </w:r>
      <w:r w:rsidR="00A51D8E">
        <w:t xml:space="preserve"> (</w:t>
      </w:r>
      <w:r w:rsidR="0099623F">
        <w:t>Sept. 17, 2020)</w:t>
      </w:r>
      <w:r w:rsidR="0090181C">
        <w:t>,</w:t>
      </w:r>
      <w:r w:rsidR="00124821" w:rsidRPr="00124821">
        <w:t xml:space="preserve"> </w:t>
      </w:r>
      <w:r w:rsidR="0099623F" w:rsidRPr="0099623F">
        <w:t>https://www.mychamplainvalley.com/news/chittenden-county-states-attorney-eliminates-cash-bail/</w:t>
      </w:r>
      <w:r w:rsidR="0099623F">
        <w:t xml:space="preserve">. </w:t>
      </w:r>
    </w:p>
  </w:endnote>
  <w:endnote w:id="56">
    <w:p w14:paraId="72E2F070" w14:textId="1E91BC80" w:rsidR="00DC537B" w:rsidRPr="00DC537B" w:rsidRDefault="00DC537B" w:rsidP="00F43B3E">
      <w:pPr>
        <w:pStyle w:val="EndnoteText"/>
        <w:spacing w:after="240"/>
      </w:pPr>
      <w:r>
        <w:rPr>
          <w:rStyle w:val="EndnoteReference"/>
        </w:rPr>
        <w:endnoteRef/>
      </w:r>
      <w:r>
        <w:t xml:space="preserve"> </w:t>
      </w:r>
      <w:r>
        <w:rPr>
          <w:i/>
          <w:iCs/>
        </w:rPr>
        <w:t>Id.</w:t>
      </w:r>
      <w:r>
        <w:t xml:space="preserve"> </w:t>
      </w:r>
    </w:p>
  </w:endnote>
  <w:endnote w:id="57">
    <w:p w14:paraId="5C56451B" w14:textId="0EFB0827" w:rsidR="00B93E0F" w:rsidRPr="003149E0" w:rsidRDefault="00B93E0F" w:rsidP="00F43B3E">
      <w:pPr>
        <w:pStyle w:val="EndnoteText"/>
        <w:spacing w:after="240"/>
        <w:rPr>
          <w:i/>
          <w:iCs/>
        </w:rPr>
      </w:pPr>
      <w:r>
        <w:rPr>
          <w:rStyle w:val="EndnoteReference"/>
        </w:rPr>
        <w:endnoteRef/>
      </w:r>
      <w:r>
        <w:t xml:space="preserve"> Compare </w:t>
      </w:r>
      <w:r w:rsidR="000C5AC6">
        <w:t xml:space="preserve">the two </w:t>
      </w:r>
      <w:r w:rsidR="002C1C63">
        <w:t>standards</w:t>
      </w:r>
      <w:r w:rsidR="000C5AC6">
        <w:t xml:space="preserve"> of proof</w:t>
      </w:r>
      <w:r w:rsidR="006B7B4A">
        <w:t>: “probable cause” is defined as “</w:t>
      </w:r>
      <w:r w:rsidR="00905122">
        <w:t>[a]</w:t>
      </w:r>
      <w:r w:rsidR="00905122" w:rsidRPr="00905122">
        <w:t xml:space="preserve"> reasonable ground to suspect that a person has committed or is committing a crime or that a place contains specific items connected with a crime</w:t>
      </w:r>
      <w:r w:rsidR="00905122">
        <w:t>,” whereas “reasonable doubt” is defined as “</w:t>
      </w:r>
      <w:r w:rsidR="004B2C39">
        <w:t>[t]</w:t>
      </w:r>
      <w:r w:rsidR="004B2C39" w:rsidRPr="004B2C39">
        <w:t>he doubt that prevents one from being firmly convinced of a defendant's guilt, or the belief that there is a real possibility that a defendant is not guilty</w:t>
      </w:r>
      <w:r w:rsidR="004B2C39">
        <w:t>.”</w:t>
      </w:r>
      <w:r w:rsidR="00375367">
        <w:t xml:space="preserve"> </w:t>
      </w:r>
      <w:r w:rsidR="00D30838" w:rsidRPr="00D9102E">
        <w:rPr>
          <w:smallCaps/>
        </w:rPr>
        <w:t>Black’s Law Dictionary</w:t>
      </w:r>
      <w:r w:rsidR="00B77F8A">
        <w:t xml:space="preserve"> (11th ed. 2019)</w:t>
      </w:r>
      <w:r w:rsidR="004D39B1">
        <w:t>.</w:t>
      </w:r>
    </w:p>
  </w:endnote>
  <w:endnote w:id="58">
    <w:p w14:paraId="34DCE6AD" w14:textId="7EF599CD" w:rsidR="009F7638" w:rsidRDefault="009F7638" w:rsidP="00F43B3E">
      <w:pPr>
        <w:pStyle w:val="EndnoteText"/>
        <w:spacing w:after="240"/>
      </w:pPr>
      <w:r>
        <w:rPr>
          <w:rStyle w:val="EndnoteReference"/>
        </w:rPr>
        <w:endnoteRef/>
      </w:r>
      <w:r>
        <w:t xml:space="preserve"> It is important to note that </w:t>
      </w:r>
      <w:r w:rsidR="0083540D">
        <w:t xml:space="preserve">these are only a few of </w:t>
      </w:r>
      <w:r w:rsidR="000A7C6C" w:rsidRPr="000A7C6C">
        <w:rPr>
          <w:i/>
          <w:iCs/>
        </w:rPr>
        <w:t>many</w:t>
      </w:r>
      <w:r w:rsidR="0083540D">
        <w:t xml:space="preserve"> potential </w:t>
      </w:r>
      <w:r w:rsidR="000A7C6C">
        <w:t>ways</w:t>
      </w:r>
      <w:r w:rsidR="0083540D">
        <w:t xml:space="preserve"> </w:t>
      </w:r>
      <w:r w:rsidR="004D704F">
        <w:t>we can begin</w:t>
      </w:r>
      <w:r w:rsidR="0083540D">
        <w:t xml:space="preserve"> reforming our criminal legal system, such as eliminating cash bail</w:t>
      </w:r>
      <w:r w:rsidR="00A06F73">
        <w:t xml:space="preserve">, </w:t>
      </w:r>
      <w:r w:rsidR="00C11E65">
        <w:t>consecutive sentencing,</w:t>
      </w:r>
      <w:r w:rsidR="0083540D">
        <w:t xml:space="preserve"> and mandatory minimum</w:t>
      </w:r>
      <w:r w:rsidR="000B6A4D">
        <w:t xml:space="preserve"> sentences</w:t>
      </w:r>
      <w:r w:rsidR="0083540D">
        <w:t>, a</w:t>
      </w:r>
      <w:r w:rsidR="000B6A4D">
        <w:t>s well as</w:t>
      </w:r>
      <w:r w:rsidR="0083540D">
        <w:t xml:space="preserve"> expanding expungement statutes for innocent individuals who felt compelled to take a plea deal. Such reforms would also have a critical impact on plea bargaining and its </w:t>
      </w:r>
      <w:r w:rsidR="00737FA7">
        <w:t>effects and</w:t>
      </w:r>
      <w:r w:rsidR="004D704F">
        <w:t xml:space="preserve"> should be considered separately as critical</w:t>
      </w:r>
      <w:r w:rsidR="001C57EF">
        <w:t xml:space="preserve"> avenues</w:t>
      </w:r>
      <w:r w:rsidR="004D704F">
        <w:t xml:space="preserve"> to </w:t>
      </w:r>
      <w:r w:rsidR="001C57EF">
        <w:t>criminal justice reform.</w:t>
      </w:r>
    </w:p>
  </w:endnote>
  <w:endnote w:id="59">
    <w:p w14:paraId="2B64C4DF" w14:textId="04A07A73" w:rsidR="00E846A3" w:rsidRPr="00E846A3" w:rsidRDefault="00E846A3" w:rsidP="00F43B3E">
      <w:pPr>
        <w:pStyle w:val="EndnoteText"/>
        <w:spacing w:after="240"/>
      </w:pPr>
      <w:r>
        <w:rPr>
          <w:rStyle w:val="EndnoteReference"/>
        </w:rPr>
        <w:endnoteRef/>
      </w:r>
      <w:r>
        <w:t xml:space="preserve"> Crespo, </w:t>
      </w:r>
      <w:r>
        <w:rPr>
          <w:i/>
          <w:iCs/>
        </w:rPr>
        <w:t>supra</w:t>
      </w:r>
      <w:r>
        <w:t xml:space="preserve"> at Part IV. </w:t>
      </w:r>
    </w:p>
  </w:endnote>
  <w:endnote w:id="60">
    <w:p w14:paraId="2AC84AE5" w14:textId="13678E0F" w:rsidR="00666422" w:rsidRPr="004947BB" w:rsidRDefault="00666422" w:rsidP="00F43B3E">
      <w:pPr>
        <w:pStyle w:val="EndnoteText"/>
        <w:spacing w:after="240"/>
      </w:pPr>
      <w:r>
        <w:rPr>
          <w:rStyle w:val="EndnoteReference"/>
        </w:rPr>
        <w:endnoteRef/>
      </w:r>
      <w:r>
        <w:t xml:space="preserve"> A 2018 poll of Vermont voters found broad support for increased prosecutorial accountability: “77% said they were more likely to support a candidate who would hold police and prosecutors accountable for misconduct” and</w:t>
      </w:r>
      <w:r w:rsidR="00D03F54">
        <w:t xml:space="preserve"> </w:t>
      </w:r>
      <w:r>
        <w:t>“72% said they would be more likely to support a candidate who committed to making prosecutors’ decisions more transparent by sharing data with the public”.</w:t>
      </w:r>
      <w:r>
        <w:rPr>
          <w:i/>
          <w:iCs/>
        </w:rPr>
        <w:t xml:space="preserve"> Holding Prosecutors Accountable</w:t>
      </w:r>
      <w:r>
        <w:t xml:space="preserve">, </w:t>
      </w:r>
      <w:r w:rsidRPr="00346486">
        <w:rPr>
          <w:smallCaps/>
        </w:rPr>
        <w:t>ACLU Vermont</w:t>
      </w:r>
      <w:r>
        <w:t xml:space="preserve">, </w:t>
      </w:r>
      <w:r w:rsidRPr="00346486">
        <w:t>https://www.acluvt.org/en/holding-prosecutors-accountable</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14035"/>
      <w:docPartObj>
        <w:docPartGallery w:val="Page Numbers (Bottom of Page)"/>
        <w:docPartUnique/>
      </w:docPartObj>
    </w:sdtPr>
    <w:sdtEndPr>
      <w:rPr>
        <w:noProof/>
      </w:rPr>
    </w:sdtEndPr>
    <w:sdtContent>
      <w:p w14:paraId="65F1EFE4" w14:textId="2CBE5DEE" w:rsidR="00AC289A" w:rsidRDefault="00AC289A">
        <w:pPr>
          <w:pStyle w:val="Footer"/>
          <w:jc w:val="center"/>
        </w:pPr>
        <w:r>
          <w:fldChar w:fldCharType="begin"/>
        </w:r>
        <w:r>
          <w:instrText xml:space="preserve"> PAGE   \* MERGEFORMAT </w:instrText>
        </w:r>
        <w:r>
          <w:fldChar w:fldCharType="separate"/>
        </w:r>
        <w:r w:rsidR="005D212B">
          <w:rPr>
            <w:noProof/>
          </w:rPr>
          <w:t>1</w:t>
        </w:r>
        <w:r>
          <w:rPr>
            <w:noProof/>
          </w:rPr>
          <w:fldChar w:fldCharType="end"/>
        </w:r>
      </w:p>
    </w:sdtContent>
  </w:sdt>
  <w:p w14:paraId="33C319FD" w14:textId="77777777" w:rsidR="00AC289A" w:rsidRDefault="00AC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EB7E" w14:textId="77777777" w:rsidR="003B661F" w:rsidRDefault="003B661F" w:rsidP="001006E3">
      <w:pPr>
        <w:spacing w:after="0" w:line="240" w:lineRule="auto"/>
      </w:pPr>
      <w:r>
        <w:separator/>
      </w:r>
    </w:p>
  </w:footnote>
  <w:footnote w:type="continuationSeparator" w:id="0">
    <w:p w14:paraId="6082D53D" w14:textId="77777777" w:rsidR="003B661F" w:rsidRDefault="003B661F" w:rsidP="00100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04B1"/>
    <w:multiLevelType w:val="hybridMultilevel"/>
    <w:tmpl w:val="96968514"/>
    <w:lvl w:ilvl="0" w:tplc="868ADD9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56659"/>
    <w:multiLevelType w:val="multilevel"/>
    <w:tmpl w:val="0409001D"/>
    <w:styleLink w:val="Briefing"/>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2633D3"/>
    <w:multiLevelType w:val="hybridMultilevel"/>
    <w:tmpl w:val="D7D81776"/>
    <w:lvl w:ilvl="0" w:tplc="A4BA26C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07CE6"/>
    <w:multiLevelType w:val="hybridMultilevel"/>
    <w:tmpl w:val="D3A27BD2"/>
    <w:lvl w:ilvl="0" w:tplc="974CAF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59511">
    <w:abstractNumId w:val="1"/>
  </w:num>
  <w:num w:numId="2" w16cid:durableId="1411777620">
    <w:abstractNumId w:val="3"/>
  </w:num>
  <w:num w:numId="3" w16cid:durableId="1560818831">
    <w:abstractNumId w:val="2"/>
  </w:num>
  <w:num w:numId="4" w16cid:durableId="6425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86"/>
    <w:rsid w:val="00001385"/>
    <w:rsid w:val="00002B7F"/>
    <w:rsid w:val="000071D7"/>
    <w:rsid w:val="00020382"/>
    <w:rsid w:val="0002461E"/>
    <w:rsid w:val="000256E7"/>
    <w:rsid w:val="00026A06"/>
    <w:rsid w:val="00027021"/>
    <w:rsid w:val="0003172C"/>
    <w:rsid w:val="00033535"/>
    <w:rsid w:val="00034117"/>
    <w:rsid w:val="00035F57"/>
    <w:rsid w:val="000400CB"/>
    <w:rsid w:val="000410EC"/>
    <w:rsid w:val="0004436C"/>
    <w:rsid w:val="000445C7"/>
    <w:rsid w:val="00047149"/>
    <w:rsid w:val="00047224"/>
    <w:rsid w:val="000515FF"/>
    <w:rsid w:val="00051D69"/>
    <w:rsid w:val="00052108"/>
    <w:rsid w:val="00052206"/>
    <w:rsid w:val="0005382A"/>
    <w:rsid w:val="00054DE4"/>
    <w:rsid w:val="00056107"/>
    <w:rsid w:val="00056ACD"/>
    <w:rsid w:val="000608CC"/>
    <w:rsid w:val="00064C0C"/>
    <w:rsid w:val="00065DFE"/>
    <w:rsid w:val="00066ADE"/>
    <w:rsid w:val="00070ACC"/>
    <w:rsid w:val="00070AD2"/>
    <w:rsid w:val="00071FB8"/>
    <w:rsid w:val="0007499A"/>
    <w:rsid w:val="000764EB"/>
    <w:rsid w:val="00077671"/>
    <w:rsid w:val="000818BE"/>
    <w:rsid w:val="00082006"/>
    <w:rsid w:val="00082D8B"/>
    <w:rsid w:val="000834B6"/>
    <w:rsid w:val="00084F99"/>
    <w:rsid w:val="00086A42"/>
    <w:rsid w:val="000874F4"/>
    <w:rsid w:val="00090714"/>
    <w:rsid w:val="00090EA9"/>
    <w:rsid w:val="00092E36"/>
    <w:rsid w:val="000942BC"/>
    <w:rsid w:val="000A304B"/>
    <w:rsid w:val="000A363E"/>
    <w:rsid w:val="000A3A2D"/>
    <w:rsid w:val="000A62BE"/>
    <w:rsid w:val="000A7C49"/>
    <w:rsid w:val="000A7C6C"/>
    <w:rsid w:val="000B054E"/>
    <w:rsid w:val="000B231D"/>
    <w:rsid w:val="000B2917"/>
    <w:rsid w:val="000B2D61"/>
    <w:rsid w:val="000B469C"/>
    <w:rsid w:val="000B6A4D"/>
    <w:rsid w:val="000C0F9B"/>
    <w:rsid w:val="000C13CA"/>
    <w:rsid w:val="000C5AC6"/>
    <w:rsid w:val="000C5FDA"/>
    <w:rsid w:val="000C64D6"/>
    <w:rsid w:val="000D338B"/>
    <w:rsid w:val="000D371B"/>
    <w:rsid w:val="000D391B"/>
    <w:rsid w:val="000D5657"/>
    <w:rsid w:val="000D7501"/>
    <w:rsid w:val="000D7AA9"/>
    <w:rsid w:val="000D7D91"/>
    <w:rsid w:val="000E0E8E"/>
    <w:rsid w:val="000E18B7"/>
    <w:rsid w:val="000E216C"/>
    <w:rsid w:val="000E781F"/>
    <w:rsid w:val="000E7C6F"/>
    <w:rsid w:val="000F1268"/>
    <w:rsid w:val="000F319F"/>
    <w:rsid w:val="000F67EE"/>
    <w:rsid w:val="000F69AD"/>
    <w:rsid w:val="000F7490"/>
    <w:rsid w:val="000F7DEF"/>
    <w:rsid w:val="001006E3"/>
    <w:rsid w:val="00102E67"/>
    <w:rsid w:val="00107E7D"/>
    <w:rsid w:val="001106EE"/>
    <w:rsid w:val="0011119C"/>
    <w:rsid w:val="00113898"/>
    <w:rsid w:val="00114BD2"/>
    <w:rsid w:val="001213F0"/>
    <w:rsid w:val="001227A3"/>
    <w:rsid w:val="00123CEA"/>
    <w:rsid w:val="00124081"/>
    <w:rsid w:val="00124821"/>
    <w:rsid w:val="00124AA2"/>
    <w:rsid w:val="00124DE2"/>
    <w:rsid w:val="00125A84"/>
    <w:rsid w:val="0012695C"/>
    <w:rsid w:val="00127689"/>
    <w:rsid w:val="001277EA"/>
    <w:rsid w:val="00130A73"/>
    <w:rsid w:val="00130B95"/>
    <w:rsid w:val="0013110F"/>
    <w:rsid w:val="001317FA"/>
    <w:rsid w:val="00134CDA"/>
    <w:rsid w:val="0013650D"/>
    <w:rsid w:val="00136559"/>
    <w:rsid w:val="00141413"/>
    <w:rsid w:val="00141C27"/>
    <w:rsid w:val="00144F27"/>
    <w:rsid w:val="00146392"/>
    <w:rsid w:val="00150A97"/>
    <w:rsid w:val="00150E15"/>
    <w:rsid w:val="00155B10"/>
    <w:rsid w:val="0016082A"/>
    <w:rsid w:val="001618CB"/>
    <w:rsid w:val="00161BD9"/>
    <w:rsid w:val="0016263A"/>
    <w:rsid w:val="00164442"/>
    <w:rsid w:val="001646F0"/>
    <w:rsid w:val="001652C5"/>
    <w:rsid w:val="00166B7B"/>
    <w:rsid w:val="001769C4"/>
    <w:rsid w:val="00180BD4"/>
    <w:rsid w:val="00183569"/>
    <w:rsid w:val="0018577A"/>
    <w:rsid w:val="00185C7A"/>
    <w:rsid w:val="00192898"/>
    <w:rsid w:val="0019299F"/>
    <w:rsid w:val="0019471E"/>
    <w:rsid w:val="00197E47"/>
    <w:rsid w:val="001A1CC4"/>
    <w:rsid w:val="001A1FE9"/>
    <w:rsid w:val="001A2445"/>
    <w:rsid w:val="001A3582"/>
    <w:rsid w:val="001A3F12"/>
    <w:rsid w:val="001A52FE"/>
    <w:rsid w:val="001A7580"/>
    <w:rsid w:val="001B2B76"/>
    <w:rsid w:val="001C0BBE"/>
    <w:rsid w:val="001C0DF7"/>
    <w:rsid w:val="001C1B3B"/>
    <w:rsid w:val="001C1C8D"/>
    <w:rsid w:val="001C2BA4"/>
    <w:rsid w:val="001C2DE7"/>
    <w:rsid w:val="001C4358"/>
    <w:rsid w:val="001C4513"/>
    <w:rsid w:val="001C57EF"/>
    <w:rsid w:val="001C68E3"/>
    <w:rsid w:val="001C6937"/>
    <w:rsid w:val="001C7CDE"/>
    <w:rsid w:val="001D0BA8"/>
    <w:rsid w:val="001D13AF"/>
    <w:rsid w:val="001D38F5"/>
    <w:rsid w:val="001D3967"/>
    <w:rsid w:val="001D4BBF"/>
    <w:rsid w:val="001D76C2"/>
    <w:rsid w:val="001D7793"/>
    <w:rsid w:val="001E0149"/>
    <w:rsid w:val="001E04CE"/>
    <w:rsid w:val="001E0DD5"/>
    <w:rsid w:val="001E346E"/>
    <w:rsid w:val="001E4424"/>
    <w:rsid w:val="001E670C"/>
    <w:rsid w:val="001E7213"/>
    <w:rsid w:val="001E7276"/>
    <w:rsid w:val="001F0372"/>
    <w:rsid w:val="001F1B26"/>
    <w:rsid w:val="001F2C22"/>
    <w:rsid w:val="001F3CF7"/>
    <w:rsid w:val="001F6183"/>
    <w:rsid w:val="001F67D0"/>
    <w:rsid w:val="00200A16"/>
    <w:rsid w:val="002022BC"/>
    <w:rsid w:val="00202B74"/>
    <w:rsid w:val="00204FB8"/>
    <w:rsid w:val="002072DD"/>
    <w:rsid w:val="00210858"/>
    <w:rsid w:val="00213888"/>
    <w:rsid w:val="002167EF"/>
    <w:rsid w:val="00216A3C"/>
    <w:rsid w:val="0021747F"/>
    <w:rsid w:val="00217BA2"/>
    <w:rsid w:val="002201F0"/>
    <w:rsid w:val="00221D6C"/>
    <w:rsid w:val="002221D7"/>
    <w:rsid w:val="0022328F"/>
    <w:rsid w:val="002243F3"/>
    <w:rsid w:val="00225808"/>
    <w:rsid w:val="002331FB"/>
    <w:rsid w:val="00233E97"/>
    <w:rsid w:val="0023455A"/>
    <w:rsid w:val="002345B8"/>
    <w:rsid w:val="00234AF8"/>
    <w:rsid w:val="00241604"/>
    <w:rsid w:val="002451A4"/>
    <w:rsid w:val="00245468"/>
    <w:rsid w:val="002478AE"/>
    <w:rsid w:val="002504C6"/>
    <w:rsid w:val="00251D15"/>
    <w:rsid w:val="002522E3"/>
    <w:rsid w:val="00252E99"/>
    <w:rsid w:val="002532D9"/>
    <w:rsid w:val="00253DE2"/>
    <w:rsid w:val="002558AC"/>
    <w:rsid w:val="00256F70"/>
    <w:rsid w:val="0026037F"/>
    <w:rsid w:val="0026245F"/>
    <w:rsid w:val="00263EC5"/>
    <w:rsid w:val="00265D9E"/>
    <w:rsid w:val="00270FA5"/>
    <w:rsid w:val="002718DC"/>
    <w:rsid w:val="00272B01"/>
    <w:rsid w:val="00273627"/>
    <w:rsid w:val="00277612"/>
    <w:rsid w:val="002801A4"/>
    <w:rsid w:val="002801F6"/>
    <w:rsid w:val="002817FB"/>
    <w:rsid w:val="002823AE"/>
    <w:rsid w:val="00283560"/>
    <w:rsid w:val="00285384"/>
    <w:rsid w:val="00286587"/>
    <w:rsid w:val="00287D50"/>
    <w:rsid w:val="00292BA4"/>
    <w:rsid w:val="002935F7"/>
    <w:rsid w:val="002A0CE9"/>
    <w:rsid w:val="002A28F6"/>
    <w:rsid w:val="002A41F8"/>
    <w:rsid w:val="002A6EE4"/>
    <w:rsid w:val="002B219F"/>
    <w:rsid w:val="002B22C8"/>
    <w:rsid w:val="002B3F1F"/>
    <w:rsid w:val="002B7102"/>
    <w:rsid w:val="002B7C1F"/>
    <w:rsid w:val="002C1C63"/>
    <w:rsid w:val="002C503C"/>
    <w:rsid w:val="002C6AC5"/>
    <w:rsid w:val="002C6F3D"/>
    <w:rsid w:val="002D49D8"/>
    <w:rsid w:val="002D5F32"/>
    <w:rsid w:val="002D726A"/>
    <w:rsid w:val="002D798F"/>
    <w:rsid w:val="002E0782"/>
    <w:rsid w:val="002E25EC"/>
    <w:rsid w:val="002E2C20"/>
    <w:rsid w:val="002E38B6"/>
    <w:rsid w:val="002E518B"/>
    <w:rsid w:val="002E56A7"/>
    <w:rsid w:val="002F2244"/>
    <w:rsid w:val="002F3F0C"/>
    <w:rsid w:val="002F6129"/>
    <w:rsid w:val="002F7F12"/>
    <w:rsid w:val="0030427B"/>
    <w:rsid w:val="00306020"/>
    <w:rsid w:val="00306EA6"/>
    <w:rsid w:val="00307840"/>
    <w:rsid w:val="00307EA1"/>
    <w:rsid w:val="003106C4"/>
    <w:rsid w:val="00312DD8"/>
    <w:rsid w:val="0031406B"/>
    <w:rsid w:val="0031423B"/>
    <w:rsid w:val="00314273"/>
    <w:rsid w:val="003149E0"/>
    <w:rsid w:val="003165B4"/>
    <w:rsid w:val="003168B5"/>
    <w:rsid w:val="0031783C"/>
    <w:rsid w:val="00317A67"/>
    <w:rsid w:val="00320212"/>
    <w:rsid w:val="0032064F"/>
    <w:rsid w:val="00322633"/>
    <w:rsid w:val="00322BC0"/>
    <w:rsid w:val="00323603"/>
    <w:rsid w:val="00323FBF"/>
    <w:rsid w:val="0032484D"/>
    <w:rsid w:val="00324D50"/>
    <w:rsid w:val="00330130"/>
    <w:rsid w:val="00333359"/>
    <w:rsid w:val="00343C07"/>
    <w:rsid w:val="00345139"/>
    <w:rsid w:val="00346486"/>
    <w:rsid w:val="0034789C"/>
    <w:rsid w:val="00351104"/>
    <w:rsid w:val="00354D23"/>
    <w:rsid w:val="00355F7F"/>
    <w:rsid w:val="00355F91"/>
    <w:rsid w:val="00357E58"/>
    <w:rsid w:val="00361462"/>
    <w:rsid w:val="003628D3"/>
    <w:rsid w:val="003659E5"/>
    <w:rsid w:val="0036790A"/>
    <w:rsid w:val="0037049F"/>
    <w:rsid w:val="00371BBF"/>
    <w:rsid w:val="003722E9"/>
    <w:rsid w:val="0037232A"/>
    <w:rsid w:val="003748E7"/>
    <w:rsid w:val="00375367"/>
    <w:rsid w:val="00387FE6"/>
    <w:rsid w:val="003905D1"/>
    <w:rsid w:val="00390B57"/>
    <w:rsid w:val="00393502"/>
    <w:rsid w:val="003968A8"/>
    <w:rsid w:val="0039737A"/>
    <w:rsid w:val="003A2C5C"/>
    <w:rsid w:val="003A566C"/>
    <w:rsid w:val="003A5EA9"/>
    <w:rsid w:val="003A7EF4"/>
    <w:rsid w:val="003B0926"/>
    <w:rsid w:val="003B125C"/>
    <w:rsid w:val="003B3998"/>
    <w:rsid w:val="003B5F48"/>
    <w:rsid w:val="003B661F"/>
    <w:rsid w:val="003B7265"/>
    <w:rsid w:val="003C01F4"/>
    <w:rsid w:val="003C1ACF"/>
    <w:rsid w:val="003C3813"/>
    <w:rsid w:val="003C383C"/>
    <w:rsid w:val="003C61EE"/>
    <w:rsid w:val="003C6EDC"/>
    <w:rsid w:val="003C7954"/>
    <w:rsid w:val="003D4576"/>
    <w:rsid w:val="003E080D"/>
    <w:rsid w:val="003E0C84"/>
    <w:rsid w:val="003E0EC4"/>
    <w:rsid w:val="003E2543"/>
    <w:rsid w:val="003E347D"/>
    <w:rsid w:val="003E4FB3"/>
    <w:rsid w:val="003E637F"/>
    <w:rsid w:val="003E79F1"/>
    <w:rsid w:val="003F0938"/>
    <w:rsid w:val="003F1C96"/>
    <w:rsid w:val="003F290A"/>
    <w:rsid w:val="003F3469"/>
    <w:rsid w:val="003F5A79"/>
    <w:rsid w:val="003F68DA"/>
    <w:rsid w:val="00400D56"/>
    <w:rsid w:val="00404E13"/>
    <w:rsid w:val="00406427"/>
    <w:rsid w:val="00407288"/>
    <w:rsid w:val="00407E24"/>
    <w:rsid w:val="00412285"/>
    <w:rsid w:val="00413903"/>
    <w:rsid w:val="00417151"/>
    <w:rsid w:val="00421421"/>
    <w:rsid w:val="00423822"/>
    <w:rsid w:val="0042439F"/>
    <w:rsid w:val="0042448C"/>
    <w:rsid w:val="004253AF"/>
    <w:rsid w:val="00426B1E"/>
    <w:rsid w:val="00426CBB"/>
    <w:rsid w:val="004309CC"/>
    <w:rsid w:val="004332D2"/>
    <w:rsid w:val="00434101"/>
    <w:rsid w:val="004347D9"/>
    <w:rsid w:val="004356B6"/>
    <w:rsid w:val="004359FB"/>
    <w:rsid w:val="004377DE"/>
    <w:rsid w:val="00442A6E"/>
    <w:rsid w:val="0044318B"/>
    <w:rsid w:val="004445E2"/>
    <w:rsid w:val="00445B92"/>
    <w:rsid w:val="0044658E"/>
    <w:rsid w:val="00450D51"/>
    <w:rsid w:val="00455B4F"/>
    <w:rsid w:val="0045608E"/>
    <w:rsid w:val="00456F3D"/>
    <w:rsid w:val="0045706F"/>
    <w:rsid w:val="00457155"/>
    <w:rsid w:val="00460C6F"/>
    <w:rsid w:val="00460DA3"/>
    <w:rsid w:val="00461407"/>
    <w:rsid w:val="0046357E"/>
    <w:rsid w:val="004654DB"/>
    <w:rsid w:val="004654E9"/>
    <w:rsid w:val="00466E70"/>
    <w:rsid w:val="00467B6E"/>
    <w:rsid w:val="00473C6A"/>
    <w:rsid w:val="004746FD"/>
    <w:rsid w:val="00477A2F"/>
    <w:rsid w:val="00480544"/>
    <w:rsid w:val="004841F6"/>
    <w:rsid w:val="00484D85"/>
    <w:rsid w:val="00486688"/>
    <w:rsid w:val="00490105"/>
    <w:rsid w:val="00490269"/>
    <w:rsid w:val="00490C2B"/>
    <w:rsid w:val="0049194D"/>
    <w:rsid w:val="00493B11"/>
    <w:rsid w:val="00493DE2"/>
    <w:rsid w:val="004947BB"/>
    <w:rsid w:val="00494A13"/>
    <w:rsid w:val="00495D31"/>
    <w:rsid w:val="00495E3B"/>
    <w:rsid w:val="00497F40"/>
    <w:rsid w:val="004A0F38"/>
    <w:rsid w:val="004A1711"/>
    <w:rsid w:val="004A187E"/>
    <w:rsid w:val="004A1ABF"/>
    <w:rsid w:val="004A2E19"/>
    <w:rsid w:val="004A4006"/>
    <w:rsid w:val="004A7CFD"/>
    <w:rsid w:val="004A7E5B"/>
    <w:rsid w:val="004B0B0A"/>
    <w:rsid w:val="004B1313"/>
    <w:rsid w:val="004B1BDD"/>
    <w:rsid w:val="004B2C39"/>
    <w:rsid w:val="004B342E"/>
    <w:rsid w:val="004B3CA4"/>
    <w:rsid w:val="004B4B1F"/>
    <w:rsid w:val="004B707B"/>
    <w:rsid w:val="004C11E2"/>
    <w:rsid w:val="004C445B"/>
    <w:rsid w:val="004C4BFB"/>
    <w:rsid w:val="004C5824"/>
    <w:rsid w:val="004C590A"/>
    <w:rsid w:val="004C5EDB"/>
    <w:rsid w:val="004C6A04"/>
    <w:rsid w:val="004D04F3"/>
    <w:rsid w:val="004D0791"/>
    <w:rsid w:val="004D13D5"/>
    <w:rsid w:val="004D1750"/>
    <w:rsid w:val="004D39B1"/>
    <w:rsid w:val="004D5771"/>
    <w:rsid w:val="004D704F"/>
    <w:rsid w:val="004D7F9C"/>
    <w:rsid w:val="004E2058"/>
    <w:rsid w:val="004E308B"/>
    <w:rsid w:val="004E4479"/>
    <w:rsid w:val="004E5275"/>
    <w:rsid w:val="004E5B46"/>
    <w:rsid w:val="004E633C"/>
    <w:rsid w:val="004E714D"/>
    <w:rsid w:val="004F0546"/>
    <w:rsid w:val="004F0FE9"/>
    <w:rsid w:val="004F2B71"/>
    <w:rsid w:val="004F3A7B"/>
    <w:rsid w:val="004F674E"/>
    <w:rsid w:val="004F6C5A"/>
    <w:rsid w:val="00501083"/>
    <w:rsid w:val="005034FF"/>
    <w:rsid w:val="00503849"/>
    <w:rsid w:val="00504E9D"/>
    <w:rsid w:val="005066DB"/>
    <w:rsid w:val="00507BFE"/>
    <w:rsid w:val="00511693"/>
    <w:rsid w:val="00512280"/>
    <w:rsid w:val="00514203"/>
    <w:rsid w:val="005142B0"/>
    <w:rsid w:val="005144C5"/>
    <w:rsid w:val="00514C55"/>
    <w:rsid w:val="005150C5"/>
    <w:rsid w:val="00521957"/>
    <w:rsid w:val="00522C39"/>
    <w:rsid w:val="00527724"/>
    <w:rsid w:val="00527A8D"/>
    <w:rsid w:val="00527D40"/>
    <w:rsid w:val="00530A0B"/>
    <w:rsid w:val="00532004"/>
    <w:rsid w:val="0053600E"/>
    <w:rsid w:val="00536886"/>
    <w:rsid w:val="0053727C"/>
    <w:rsid w:val="0054345A"/>
    <w:rsid w:val="0054377B"/>
    <w:rsid w:val="00544C4F"/>
    <w:rsid w:val="0054797B"/>
    <w:rsid w:val="00550F7C"/>
    <w:rsid w:val="005519E9"/>
    <w:rsid w:val="005533B2"/>
    <w:rsid w:val="005534AB"/>
    <w:rsid w:val="00554864"/>
    <w:rsid w:val="00555615"/>
    <w:rsid w:val="00556D02"/>
    <w:rsid w:val="0055784D"/>
    <w:rsid w:val="0056020D"/>
    <w:rsid w:val="00560996"/>
    <w:rsid w:val="00564AF2"/>
    <w:rsid w:val="00565C85"/>
    <w:rsid w:val="005709F4"/>
    <w:rsid w:val="00573C7C"/>
    <w:rsid w:val="00574DB3"/>
    <w:rsid w:val="00576945"/>
    <w:rsid w:val="005804F2"/>
    <w:rsid w:val="005817D5"/>
    <w:rsid w:val="00582F30"/>
    <w:rsid w:val="005838BB"/>
    <w:rsid w:val="005846E8"/>
    <w:rsid w:val="00587580"/>
    <w:rsid w:val="00587606"/>
    <w:rsid w:val="00587661"/>
    <w:rsid w:val="00587BEB"/>
    <w:rsid w:val="00590065"/>
    <w:rsid w:val="0059050E"/>
    <w:rsid w:val="00590741"/>
    <w:rsid w:val="005940F5"/>
    <w:rsid w:val="00595F14"/>
    <w:rsid w:val="00596452"/>
    <w:rsid w:val="005A2840"/>
    <w:rsid w:val="005A59EA"/>
    <w:rsid w:val="005B0184"/>
    <w:rsid w:val="005B374C"/>
    <w:rsid w:val="005B777C"/>
    <w:rsid w:val="005B7D01"/>
    <w:rsid w:val="005C2497"/>
    <w:rsid w:val="005C444E"/>
    <w:rsid w:val="005C47D8"/>
    <w:rsid w:val="005D0DE8"/>
    <w:rsid w:val="005D0F4B"/>
    <w:rsid w:val="005D1699"/>
    <w:rsid w:val="005D212B"/>
    <w:rsid w:val="005D4A5E"/>
    <w:rsid w:val="005D603E"/>
    <w:rsid w:val="005E0412"/>
    <w:rsid w:val="005E1BDA"/>
    <w:rsid w:val="005E5250"/>
    <w:rsid w:val="005F025D"/>
    <w:rsid w:val="005F04B8"/>
    <w:rsid w:val="005F2656"/>
    <w:rsid w:val="005F7847"/>
    <w:rsid w:val="006004CC"/>
    <w:rsid w:val="00601572"/>
    <w:rsid w:val="0060459F"/>
    <w:rsid w:val="00606741"/>
    <w:rsid w:val="00606DCF"/>
    <w:rsid w:val="00607DD2"/>
    <w:rsid w:val="006102B2"/>
    <w:rsid w:val="0061063F"/>
    <w:rsid w:val="00613EA3"/>
    <w:rsid w:val="006169AB"/>
    <w:rsid w:val="0061711C"/>
    <w:rsid w:val="006176B2"/>
    <w:rsid w:val="0061782C"/>
    <w:rsid w:val="00623D43"/>
    <w:rsid w:val="00623D7D"/>
    <w:rsid w:val="006242A4"/>
    <w:rsid w:val="0062528D"/>
    <w:rsid w:val="00626F57"/>
    <w:rsid w:val="006314CE"/>
    <w:rsid w:val="00632B08"/>
    <w:rsid w:val="00632EEE"/>
    <w:rsid w:val="00633A99"/>
    <w:rsid w:val="00633B90"/>
    <w:rsid w:val="00633F4E"/>
    <w:rsid w:val="00636D72"/>
    <w:rsid w:val="006418F5"/>
    <w:rsid w:val="00642B99"/>
    <w:rsid w:val="00642F98"/>
    <w:rsid w:val="0064555B"/>
    <w:rsid w:val="00645B65"/>
    <w:rsid w:val="006477F6"/>
    <w:rsid w:val="00647A1E"/>
    <w:rsid w:val="00647FB4"/>
    <w:rsid w:val="006509F1"/>
    <w:rsid w:val="006515D3"/>
    <w:rsid w:val="0065167D"/>
    <w:rsid w:val="00654CAE"/>
    <w:rsid w:val="00656B1B"/>
    <w:rsid w:val="0066155D"/>
    <w:rsid w:val="006619B8"/>
    <w:rsid w:val="0066313D"/>
    <w:rsid w:val="00666422"/>
    <w:rsid w:val="00666F33"/>
    <w:rsid w:val="006671E0"/>
    <w:rsid w:val="00670562"/>
    <w:rsid w:val="00670ACC"/>
    <w:rsid w:val="00670F34"/>
    <w:rsid w:val="00671AD3"/>
    <w:rsid w:val="0067338B"/>
    <w:rsid w:val="0067439F"/>
    <w:rsid w:val="00676C35"/>
    <w:rsid w:val="00676D3E"/>
    <w:rsid w:val="006772B1"/>
    <w:rsid w:val="00677E2B"/>
    <w:rsid w:val="00680990"/>
    <w:rsid w:val="00681A90"/>
    <w:rsid w:val="00681B13"/>
    <w:rsid w:val="00682773"/>
    <w:rsid w:val="00684C9B"/>
    <w:rsid w:val="0068500F"/>
    <w:rsid w:val="006851B7"/>
    <w:rsid w:val="00686883"/>
    <w:rsid w:val="00686B31"/>
    <w:rsid w:val="00687263"/>
    <w:rsid w:val="00687F68"/>
    <w:rsid w:val="00691247"/>
    <w:rsid w:val="00692737"/>
    <w:rsid w:val="00692AEE"/>
    <w:rsid w:val="00693E44"/>
    <w:rsid w:val="00695C32"/>
    <w:rsid w:val="00697DD5"/>
    <w:rsid w:val="006A1DAA"/>
    <w:rsid w:val="006A2AA5"/>
    <w:rsid w:val="006A4EE2"/>
    <w:rsid w:val="006A58E0"/>
    <w:rsid w:val="006B0992"/>
    <w:rsid w:val="006B47D3"/>
    <w:rsid w:val="006B51AF"/>
    <w:rsid w:val="006B59AE"/>
    <w:rsid w:val="006B7B4A"/>
    <w:rsid w:val="006C0C12"/>
    <w:rsid w:val="006C248C"/>
    <w:rsid w:val="006C4918"/>
    <w:rsid w:val="006D1A36"/>
    <w:rsid w:val="006D2DDE"/>
    <w:rsid w:val="006D60D3"/>
    <w:rsid w:val="006E12DC"/>
    <w:rsid w:val="006E1F08"/>
    <w:rsid w:val="006E24BF"/>
    <w:rsid w:val="006E370C"/>
    <w:rsid w:val="006E48B6"/>
    <w:rsid w:val="006E4D7D"/>
    <w:rsid w:val="006E60D8"/>
    <w:rsid w:val="006E63F9"/>
    <w:rsid w:val="006E6D3B"/>
    <w:rsid w:val="006F0AC1"/>
    <w:rsid w:val="006F14EA"/>
    <w:rsid w:val="006F1B64"/>
    <w:rsid w:val="006F21AE"/>
    <w:rsid w:val="006F362B"/>
    <w:rsid w:val="006F3646"/>
    <w:rsid w:val="006F5791"/>
    <w:rsid w:val="006F6BCC"/>
    <w:rsid w:val="006F702D"/>
    <w:rsid w:val="006F7424"/>
    <w:rsid w:val="006F7761"/>
    <w:rsid w:val="007037B3"/>
    <w:rsid w:val="0070501C"/>
    <w:rsid w:val="007069A2"/>
    <w:rsid w:val="00707588"/>
    <w:rsid w:val="0071043F"/>
    <w:rsid w:val="007106C9"/>
    <w:rsid w:val="00710DFC"/>
    <w:rsid w:val="00710FED"/>
    <w:rsid w:val="00711A99"/>
    <w:rsid w:val="00724358"/>
    <w:rsid w:val="00724B10"/>
    <w:rsid w:val="00725D86"/>
    <w:rsid w:val="0072655D"/>
    <w:rsid w:val="00730D7D"/>
    <w:rsid w:val="00733849"/>
    <w:rsid w:val="007339A2"/>
    <w:rsid w:val="00734E24"/>
    <w:rsid w:val="0073508F"/>
    <w:rsid w:val="0073596E"/>
    <w:rsid w:val="0073701C"/>
    <w:rsid w:val="00737FA7"/>
    <w:rsid w:val="00740094"/>
    <w:rsid w:val="00741B31"/>
    <w:rsid w:val="00741DEE"/>
    <w:rsid w:val="007422BC"/>
    <w:rsid w:val="00743BD1"/>
    <w:rsid w:val="00744BF7"/>
    <w:rsid w:val="00745ADB"/>
    <w:rsid w:val="0074624A"/>
    <w:rsid w:val="00752A83"/>
    <w:rsid w:val="007539D8"/>
    <w:rsid w:val="007545BA"/>
    <w:rsid w:val="00754F0A"/>
    <w:rsid w:val="0075682D"/>
    <w:rsid w:val="00756EB9"/>
    <w:rsid w:val="007572AE"/>
    <w:rsid w:val="00757381"/>
    <w:rsid w:val="00757CC1"/>
    <w:rsid w:val="007601C6"/>
    <w:rsid w:val="007614F8"/>
    <w:rsid w:val="007647C0"/>
    <w:rsid w:val="00765ACC"/>
    <w:rsid w:val="00767824"/>
    <w:rsid w:val="00770C4D"/>
    <w:rsid w:val="00771B5C"/>
    <w:rsid w:val="00772336"/>
    <w:rsid w:val="00772D67"/>
    <w:rsid w:val="007741B0"/>
    <w:rsid w:val="00784E13"/>
    <w:rsid w:val="00786FB8"/>
    <w:rsid w:val="00787B2D"/>
    <w:rsid w:val="0079057F"/>
    <w:rsid w:val="00791095"/>
    <w:rsid w:val="00795959"/>
    <w:rsid w:val="0079636E"/>
    <w:rsid w:val="007A397B"/>
    <w:rsid w:val="007A3FE8"/>
    <w:rsid w:val="007A61FC"/>
    <w:rsid w:val="007B020F"/>
    <w:rsid w:val="007B084D"/>
    <w:rsid w:val="007B5EF2"/>
    <w:rsid w:val="007B7007"/>
    <w:rsid w:val="007C0245"/>
    <w:rsid w:val="007C0402"/>
    <w:rsid w:val="007C4F02"/>
    <w:rsid w:val="007C5278"/>
    <w:rsid w:val="007C6863"/>
    <w:rsid w:val="007C6F19"/>
    <w:rsid w:val="007C790D"/>
    <w:rsid w:val="007C79E5"/>
    <w:rsid w:val="007D5BD0"/>
    <w:rsid w:val="007E1057"/>
    <w:rsid w:val="007E3418"/>
    <w:rsid w:val="007E3B6E"/>
    <w:rsid w:val="007E5CEB"/>
    <w:rsid w:val="007E70AF"/>
    <w:rsid w:val="007E78A5"/>
    <w:rsid w:val="007F000F"/>
    <w:rsid w:val="007F0225"/>
    <w:rsid w:val="007F1235"/>
    <w:rsid w:val="007F354A"/>
    <w:rsid w:val="008007EA"/>
    <w:rsid w:val="0080699A"/>
    <w:rsid w:val="0080729C"/>
    <w:rsid w:val="00807364"/>
    <w:rsid w:val="00807728"/>
    <w:rsid w:val="00807ADC"/>
    <w:rsid w:val="00807B06"/>
    <w:rsid w:val="00810D64"/>
    <w:rsid w:val="00811170"/>
    <w:rsid w:val="00812CD2"/>
    <w:rsid w:val="00813B1A"/>
    <w:rsid w:val="00814609"/>
    <w:rsid w:val="00815DC0"/>
    <w:rsid w:val="008204AB"/>
    <w:rsid w:val="00820FF6"/>
    <w:rsid w:val="00821B0B"/>
    <w:rsid w:val="008222B5"/>
    <w:rsid w:val="00824102"/>
    <w:rsid w:val="00825185"/>
    <w:rsid w:val="00825BD3"/>
    <w:rsid w:val="0082620E"/>
    <w:rsid w:val="008262BC"/>
    <w:rsid w:val="0082670E"/>
    <w:rsid w:val="0082696D"/>
    <w:rsid w:val="00830A2E"/>
    <w:rsid w:val="008351E0"/>
    <w:rsid w:val="0083540D"/>
    <w:rsid w:val="00835EA6"/>
    <w:rsid w:val="008366DB"/>
    <w:rsid w:val="00836DA6"/>
    <w:rsid w:val="00837A38"/>
    <w:rsid w:val="008406AB"/>
    <w:rsid w:val="0084180B"/>
    <w:rsid w:val="00841E6B"/>
    <w:rsid w:val="00844485"/>
    <w:rsid w:val="00846FA3"/>
    <w:rsid w:val="00847194"/>
    <w:rsid w:val="0085234D"/>
    <w:rsid w:val="00852473"/>
    <w:rsid w:val="008575E9"/>
    <w:rsid w:val="00861AC9"/>
    <w:rsid w:val="008642E9"/>
    <w:rsid w:val="00867989"/>
    <w:rsid w:val="008705C5"/>
    <w:rsid w:val="00870D67"/>
    <w:rsid w:val="008716B5"/>
    <w:rsid w:val="00872D45"/>
    <w:rsid w:val="00873F2D"/>
    <w:rsid w:val="00874F3E"/>
    <w:rsid w:val="00880B80"/>
    <w:rsid w:val="00881FEF"/>
    <w:rsid w:val="008834E7"/>
    <w:rsid w:val="00883845"/>
    <w:rsid w:val="008846EC"/>
    <w:rsid w:val="008854FE"/>
    <w:rsid w:val="00887441"/>
    <w:rsid w:val="0088775C"/>
    <w:rsid w:val="008929C7"/>
    <w:rsid w:val="00893DEC"/>
    <w:rsid w:val="008A20B1"/>
    <w:rsid w:val="008A20B3"/>
    <w:rsid w:val="008A373B"/>
    <w:rsid w:val="008A5676"/>
    <w:rsid w:val="008A72D8"/>
    <w:rsid w:val="008A73A5"/>
    <w:rsid w:val="008A7F73"/>
    <w:rsid w:val="008B0CCC"/>
    <w:rsid w:val="008B2574"/>
    <w:rsid w:val="008B4D76"/>
    <w:rsid w:val="008B4EB1"/>
    <w:rsid w:val="008B5D2F"/>
    <w:rsid w:val="008B6665"/>
    <w:rsid w:val="008C1A7B"/>
    <w:rsid w:val="008C242E"/>
    <w:rsid w:val="008C3081"/>
    <w:rsid w:val="008C4979"/>
    <w:rsid w:val="008C4FAD"/>
    <w:rsid w:val="008C5118"/>
    <w:rsid w:val="008C5FA0"/>
    <w:rsid w:val="008C6F9F"/>
    <w:rsid w:val="008C7BFF"/>
    <w:rsid w:val="008D218E"/>
    <w:rsid w:val="008D2A68"/>
    <w:rsid w:val="008D4E1A"/>
    <w:rsid w:val="008D4FED"/>
    <w:rsid w:val="008E0CE3"/>
    <w:rsid w:val="008E36C8"/>
    <w:rsid w:val="008E36C9"/>
    <w:rsid w:val="008E7ED1"/>
    <w:rsid w:val="008F08BA"/>
    <w:rsid w:val="008F1ABC"/>
    <w:rsid w:val="008F2E12"/>
    <w:rsid w:val="008F52B0"/>
    <w:rsid w:val="008F5D2E"/>
    <w:rsid w:val="008F78E7"/>
    <w:rsid w:val="008F7EBC"/>
    <w:rsid w:val="00900607"/>
    <w:rsid w:val="0090157B"/>
    <w:rsid w:val="0090181C"/>
    <w:rsid w:val="00905122"/>
    <w:rsid w:val="00906A58"/>
    <w:rsid w:val="009078DA"/>
    <w:rsid w:val="00910D00"/>
    <w:rsid w:val="00914EC3"/>
    <w:rsid w:val="00914ECC"/>
    <w:rsid w:val="00915516"/>
    <w:rsid w:val="009177C4"/>
    <w:rsid w:val="009226F9"/>
    <w:rsid w:val="00923317"/>
    <w:rsid w:val="00926C9F"/>
    <w:rsid w:val="0093046B"/>
    <w:rsid w:val="00931466"/>
    <w:rsid w:val="00935BF8"/>
    <w:rsid w:val="009362BC"/>
    <w:rsid w:val="00936CC5"/>
    <w:rsid w:val="00937194"/>
    <w:rsid w:val="00937266"/>
    <w:rsid w:val="009378E8"/>
    <w:rsid w:val="0093793B"/>
    <w:rsid w:val="009400B9"/>
    <w:rsid w:val="00941ED5"/>
    <w:rsid w:val="009432EE"/>
    <w:rsid w:val="00945D04"/>
    <w:rsid w:val="009468A9"/>
    <w:rsid w:val="00946F73"/>
    <w:rsid w:val="009508A0"/>
    <w:rsid w:val="009519AC"/>
    <w:rsid w:val="00951DE6"/>
    <w:rsid w:val="0095278F"/>
    <w:rsid w:val="009543CC"/>
    <w:rsid w:val="009554CA"/>
    <w:rsid w:val="0095709F"/>
    <w:rsid w:val="00963059"/>
    <w:rsid w:val="009639A6"/>
    <w:rsid w:val="009641B3"/>
    <w:rsid w:val="00965194"/>
    <w:rsid w:val="00972899"/>
    <w:rsid w:val="00972F17"/>
    <w:rsid w:val="00973203"/>
    <w:rsid w:val="00974DA5"/>
    <w:rsid w:val="00975DB2"/>
    <w:rsid w:val="009760E7"/>
    <w:rsid w:val="00980AF1"/>
    <w:rsid w:val="00980E55"/>
    <w:rsid w:val="009812B1"/>
    <w:rsid w:val="00981A03"/>
    <w:rsid w:val="00981ADE"/>
    <w:rsid w:val="00982D98"/>
    <w:rsid w:val="009850CB"/>
    <w:rsid w:val="00985B87"/>
    <w:rsid w:val="00987048"/>
    <w:rsid w:val="009913CF"/>
    <w:rsid w:val="00991422"/>
    <w:rsid w:val="00992FFB"/>
    <w:rsid w:val="00994138"/>
    <w:rsid w:val="00994C9A"/>
    <w:rsid w:val="0099623F"/>
    <w:rsid w:val="009A0984"/>
    <w:rsid w:val="009A09E3"/>
    <w:rsid w:val="009A0D4D"/>
    <w:rsid w:val="009A17B5"/>
    <w:rsid w:val="009A7632"/>
    <w:rsid w:val="009B0A3A"/>
    <w:rsid w:val="009B2B02"/>
    <w:rsid w:val="009B2B63"/>
    <w:rsid w:val="009B585B"/>
    <w:rsid w:val="009B5C89"/>
    <w:rsid w:val="009B6FCA"/>
    <w:rsid w:val="009B7162"/>
    <w:rsid w:val="009C0E91"/>
    <w:rsid w:val="009C199E"/>
    <w:rsid w:val="009C2139"/>
    <w:rsid w:val="009C344F"/>
    <w:rsid w:val="009C3530"/>
    <w:rsid w:val="009C3665"/>
    <w:rsid w:val="009C3FE0"/>
    <w:rsid w:val="009C4020"/>
    <w:rsid w:val="009C5AE3"/>
    <w:rsid w:val="009D02E7"/>
    <w:rsid w:val="009D035B"/>
    <w:rsid w:val="009D1BDD"/>
    <w:rsid w:val="009D2D5B"/>
    <w:rsid w:val="009D3FAB"/>
    <w:rsid w:val="009D4BA9"/>
    <w:rsid w:val="009D69C9"/>
    <w:rsid w:val="009D7457"/>
    <w:rsid w:val="009D7900"/>
    <w:rsid w:val="009E07C6"/>
    <w:rsid w:val="009E098A"/>
    <w:rsid w:val="009E3DDB"/>
    <w:rsid w:val="009E7036"/>
    <w:rsid w:val="009F1AED"/>
    <w:rsid w:val="009F2E04"/>
    <w:rsid w:val="009F4B7C"/>
    <w:rsid w:val="009F6232"/>
    <w:rsid w:val="009F7638"/>
    <w:rsid w:val="00A010F3"/>
    <w:rsid w:val="00A01397"/>
    <w:rsid w:val="00A01CC3"/>
    <w:rsid w:val="00A0243F"/>
    <w:rsid w:val="00A02D02"/>
    <w:rsid w:val="00A0335C"/>
    <w:rsid w:val="00A04EE0"/>
    <w:rsid w:val="00A05196"/>
    <w:rsid w:val="00A06F73"/>
    <w:rsid w:val="00A076F3"/>
    <w:rsid w:val="00A102ED"/>
    <w:rsid w:val="00A10641"/>
    <w:rsid w:val="00A12486"/>
    <w:rsid w:val="00A1395F"/>
    <w:rsid w:val="00A15871"/>
    <w:rsid w:val="00A15D56"/>
    <w:rsid w:val="00A16DF9"/>
    <w:rsid w:val="00A238F6"/>
    <w:rsid w:val="00A23B72"/>
    <w:rsid w:val="00A244A5"/>
    <w:rsid w:val="00A2493D"/>
    <w:rsid w:val="00A25618"/>
    <w:rsid w:val="00A2570E"/>
    <w:rsid w:val="00A25E1C"/>
    <w:rsid w:val="00A27048"/>
    <w:rsid w:val="00A323AF"/>
    <w:rsid w:val="00A32A85"/>
    <w:rsid w:val="00A335E7"/>
    <w:rsid w:val="00A33FDB"/>
    <w:rsid w:val="00A358FF"/>
    <w:rsid w:val="00A44397"/>
    <w:rsid w:val="00A44B7F"/>
    <w:rsid w:val="00A47B9E"/>
    <w:rsid w:val="00A51D8E"/>
    <w:rsid w:val="00A532DF"/>
    <w:rsid w:val="00A54140"/>
    <w:rsid w:val="00A555D4"/>
    <w:rsid w:val="00A56784"/>
    <w:rsid w:val="00A57C23"/>
    <w:rsid w:val="00A6099D"/>
    <w:rsid w:val="00A65006"/>
    <w:rsid w:val="00A650E0"/>
    <w:rsid w:val="00A70638"/>
    <w:rsid w:val="00A707B2"/>
    <w:rsid w:val="00A70C42"/>
    <w:rsid w:val="00A7363E"/>
    <w:rsid w:val="00A7424A"/>
    <w:rsid w:val="00A7583C"/>
    <w:rsid w:val="00A7724C"/>
    <w:rsid w:val="00A92CBC"/>
    <w:rsid w:val="00A93AE2"/>
    <w:rsid w:val="00A95A3B"/>
    <w:rsid w:val="00AA1219"/>
    <w:rsid w:val="00AA12C1"/>
    <w:rsid w:val="00AA15BA"/>
    <w:rsid w:val="00AA3910"/>
    <w:rsid w:val="00AA4608"/>
    <w:rsid w:val="00AA4640"/>
    <w:rsid w:val="00AA621C"/>
    <w:rsid w:val="00AA790B"/>
    <w:rsid w:val="00AB1441"/>
    <w:rsid w:val="00AB1D14"/>
    <w:rsid w:val="00AB3F5B"/>
    <w:rsid w:val="00AB58EE"/>
    <w:rsid w:val="00AB6E20"/>
    <w:rsid w:val="00AB7A8A"/>
    <w:rsid w:val="00AB7BE5"/>
    <w:rsid w:val="00AC13E6"/>
    <w:rsid w:val="00AC2097"/>
    <w:rsid w:val="00AC289A"/>
    <w:rsid w:val="00AC312C"/>
    <w:rsid w:val="00AC3767"/>
    <w:rsid w:val="00AC55A9"/>
    <w:rsid w:val="00AC64A3"/>
    <w:rsid w:val="00AC6D5B"/>
    <w:rsid w:val="00AD1837"/>
    <w:rsid w:val="00AD1985"/>
    <w:rsid w:val="00AD35F0"/>
    <w:rsid w:val="00AD39C6"/>
    <w:rsid w:val="00AD5C6A"/>
    <w:rsid w:val="00AD6554"/>
    <w:rsid w:val="00AD7B7A"/>
    <w:rsid w:val="00AD7BF0"/>
    <w:rsid w:val="00AD7CB2"/>
    <w:rsid w:val="00AE2A5C"/>
    <w:rsid w:val="00AE2DCC"/>
    <w:rsid w:val="00AE6C17"/>
    <w:rsid w:val="00AF0AA5"/>
    <w:rsid w:val="00AF1048"/>
    <w:rsid w:val="00AF14CE"/>
    <w:rsid w:val="00AF18BA"/>
    <w:rsid w:val="00AF29EC"/>
    <w:rsid w:val="00AF418D"/>
    <w:rsid w:val="00AF53D5"/>
    <w:rsid w:val="00AF5F82"/>
    <w:rsid w:val="00AF73A5"/>
    <w:rsid w:val="00B01D17"/>
    <w:rsid w:val="00B023A7"/>
    <w:rsid w:val="00B0254E"/>
    <w:rsid w:val="00B02DF8"/>
    <w:rsid w:val="00B032E4"/>
    <w:rsid w:val="00B049C1"/>
    <w:rsid w:val="00B05074"/>
    <w:rsid w:val="00B106BB"/>
    <w:rsid w:val="00B10AB6"/>
    <w:rsid w:val="00B126E6"/>
    <w:rsid w:val="00B16BF3"/>
    <w:rsid w:val="00B16BFB"/>
    <w:rsid w:val="00B21D3E"/>
    <w:rsid w:val="00B23A72"/>
    <w:rsid w:val="00B2506E"/>
    <w:rsid w:val="00B262B5"/>
    <w:rsid w:val="00B2745C"/>
    <w:rsid w:val="00B30F2E"/>
    <w:rsid w:val="00B32D8B"/>
    <w:rsid w:val="00B33087"/>
    <w:rsid w:val="00B33E7A"/>
    <w:rsid w:val="00B34F1B"/>
    <w:rsid w:val="00B36237"/>
    <w:rsid w:val="00B371AF"/>
    <w:rsid w:val="00B4333F"/>
    <w:rsid w:val="00B43DFD"/>
    <w:rsid w:val="00B443BA"/>
    <w:rsid w:val="00B44FBD"/>
    <w:rsid w:val="00B4525B"/>
    <w:rsid w:val="00B453AD"/>
    <w:rsid w:val="00B51DFA"/>
    <w:rsid w:val="00B53604"/>
    <w:rsid w:val="00B5397F"/>
    <w:rsid w:val="00B53E8A"/>
    <w:rsid w:val="00B55186"/>
    <w:rsid w:val="00B56A9F"/>
    <w:rsid w:val="00B57070"/>
    <w:rsid w:val="00B571EE"/>
    <w:rsid w:val="00B57202"/>
    <w:rsid w:val="00B61F38"/>
    <w:rsid w:val="00B637FA"/>
    <w:rsid w:val="00B63C25"/>
    <w:rsid w:val="00B64AC8"/>
    <w:rsid w:val="00B64F0C"/>
    <w:rsid w:val="00B67F9B"/>
    <w:rsid w:val="00B706EE"/>
    <w:rsid w:val="00B720D7"/>
    <w:rsid w:val="00B742EF"/>
    <w:rsid w:val="00B76109"/>
    <w:rsid w:val="00B77167"/>
    <w:rsid w:val="00B77F8A"/>
    <w:rsid w:val="00B80635"/>
    <w:rsid w:val="00B80848"/>
    <w:rsid w:val="00B80ADB"/>
    <w:rsid w:val="00B820FB"/>
    <w:rsid w:val="00B84898"/>
    <w:rsid w:val="00B85064"/>
    <w:rsid w:val="00B8721B"/>
    <w:rsid w:val="00B92A2F"/>
    <w:rsid w:val="00B937A1"/>
    <w:rsid w:val="00B93E0F"/>
    <w:rsid w:val="00B94ABD"/>
    <w:rsid w:val="00B953C0"/>
    <w:rsid w:val="00B969C0"/>
    <w:rsid w:val="00B96EEC"/>
    <w:rsid w:val="00B970BE"/>
    <w:rsid w:val="00B97B62"/>
    <w:rsid w:val="00BA2851"/>
    <w:rsid w:val="00BA35C6"/>
    <w:rsid w:val="00BA384B"/>
    <w:rsid w:val="00BB190F"/>
    <w:rsid w:val="00BB1AE9"/>
    <w:rsid w:val="00BB28A8"/>
    <w:rsid w:val="00BB4FAC"/>
    <w:rsid w:val="00BB575B"/>
    <w:rsid w:val="00BB63E9"/>
    <w:rsid w:val="00BC2940"/>
    <w:rsid w:val="00BC33D2"/>
    <w:rsid w:val="00BC3524"/>
    <w:rsid w:val="00BC3D00"/>
    <w:rsid w:val="00BC3F28"/>
    <w:rsid w:val="00BC4E48"/>
    <w:rsid w:val="00BC6B49"/>
    <w:rsid w:val="00BC79B2"/>
    <w:rsid w:val="00BD00C8"/>
    <w:rsid w:val="00BD1C80"/>
    <w:rsid w:val="00BD1ED8"/>
    <w:rsid w:val="00BD2787"/>
    <w:rsid w:val="00BD2E6F"/>
    <w:rsid w:val="00BD390E"/>
    <w:rsid w:val="00BD3BE1"/>
    <w:rsid w:val="00BD421B"/>
    <w:rsid w:val="00BD4B6B"/>
    <w:rsid w:val="00BD5396"/>
    <w:rsid w:val="00BD5A12"/>
    <w:rsid w:val="00BE0210"/>
    <w:rsid w:val="00BE087A"/>
    <w:rsid w:val="00BE0B49"/>
    <w:rsid w:val="00BE3F4F"/>
    <w:rsid w:val="00BE57F8"/>
    <w:rsid w:val="00BE758D"/>
    <w:rsid w:val="00BF0088"/>
    <w:rsid w:val="00BF0491"/>
    <w:rsid w:val="00BF408F"/>
    <w:rsid w:val="00BF4460"/>
    <w:rsid w:val="00BF505C"/>
    <w:rsid w:val="00BF50FC"/>
    <w:rsid w:val="00BF7685"/>
    <w:rsid w:val="00C00D0C"/>
    <w:rsid w:val="00C02116"/>
    <w:rsid w:val="00C03D6C"/>
    <w:rsid w:val="00C03FB9"/>
    <w:rsid w:val="00C0439D"/>
    <w:rsid w:val="00C04499"/>
    <w:rsid w:val="00C10344"/>
    <w:rsid w:val="00C10D74"/>
    <w:rsid w:val="00C11E65"/>
    <w:rsid w:val="00C142BA"/>
    <w:rsid w:val="00C146D2"/>
    <w:rsid w:val="00C15F18"/>
    <w:rsid w:val="00C17CAB"/>
    <w:rsid w:val="00C20281"/>
    <w:rsid w:val="00C2212E"/>
    <w:rsid w:val="00C26FC4"/>
    <w:rsid w:val="00C2708A"/>
    <w:rsid w:val="00C27535"/>
    <w:rsid w:val="00C27749"/>
    <w:rsid w:val="00C30E7B"/>
    <w:rsid w:val="00C310AF"/>
    <w:rsid w:val="00C3254A"/>
    <w:rsid w:val="00C356B7"/>
    <w:rsid w:val="00C37F37"/>
    <w:rsid w:val="00C40BF6"/>
    <w:rsid w:val="00C42980"/>
    <w:rsid w:val="00C43058"/>
    <w:rsid w:val="00C4560E"/>
    <w:rsid w:val="00C46295"/>
    <w:rsid w:val="00C5146F"/>
    <w:rsid w:val="00C52474"/>
    <w:rsid w:val="00C5284A"/>
    <w:rsid w:val="00C53503"/>
    <w:rsid w:val="00C545A0"/>
    <w:rsid w:val="00C54A5A"/>
    <w:rsid w:val="00C54DDA"/>
    <w:rsid w:val="00C5510E"/>
    <w:rsid w:val="00C56287"/>
    <w:rsid w:val="00C56CB9"/>
    <w:rsid w:val="00C60C1D"/>
    <w:rsid w:val="00C61070"/>
    <w:rsid w:val="00C61282"/>
    <w:rsid w:val="00C6346B"/>
    <w:rsid w:val="00C63DDF"/>
    <w:rsid w:val="00C64CC5"/>
    <w:rsid w:val="00C657A6"/>
    <w:rsid w:val="00C674A2"/>
    <w:rsid w:val="00C70459"/>
    <w:rsid w:val="00C70511"/>
    <w:rsid w:val="00C707D7"/>
    <w:rsid w:val="00C731A5"/>
    <w:rsid w:val="00C77DBC"/>
    <w:rsid w:val="00C77DDB"/>
    <w:rsid w:val="00C817F7"/>
    <w:rsid w:val="00C81B88"/>
    <w:rsid w:val="00C82659"/>
    <w:rsid w:val="00C83E13"/>
    <w:rsid w:val="00C844F0"/>
    <w:rsid w:val="00C8531B"/>
    <w:rsid w:val="00C90470"/>
    <w:rsid w:val="00C9142A"/>
    <w:rsid w:val="00C91C51"/>
    <w:rsid w:val="00C9280B"/>
    <w:rsid w:val="00C947AD"/>
    <w:rsid w:val="00C958E3"/>
    <w:rsid w:val="00CA0415"/>
    <w:rsid w:val="00CA14F8"/>
    <w:rsid w:val="00CA1677"/>
    <w:rsid w:val="00CA2C8F"/>
    <w:rsid w:val="00CA3E6A"/>
    <w:rsid w:val="00CA67A8"/>
    <w:rsid w:val="00CB47B6"/>
    <w:rsid w:val="00CB5249"/>
    <w:rsid w:val="00CB6CC8"/>
    <w:rsid w:val="00CC0F59"/>
    <w:rsid w:val="00CC2BEB"/>
    <w:rsid w:val="00CD079C"/>
    <w:rsid w:val="00CD0BE3"/>
    <w:rsid w:val="00CD279A"/>
    <w:rsid w:val="00CD3184"/>
    <w:rsid w:val="00CE0BF3"/>
    <w:rsid w:val="00CE19C3"/>
    <w:rsid w:val="00CE24C4"/>
    <w:rsid w:val="00CE2866"/>
    <w:rsid w:val="00CE2F3A"/>
    <w:rsid w:val="00CE36E8"/>
    <w:rsid w:val="00CE47DD"/>
    <w:rsid w:val="00CE56F6"/>
    <w:rsid w:val="00CE5D52"/>
    <w:rsid w:val="00CE744B"/>
    <w:rsid w:val="00CE766E"/>
    <w:rsid w:val="00CE7875"/>
    <w:rsid w:val="00CF06BF"/>
    <w:rsid w:val="00CF15DC"/>
    <w:rsid w:val="00CF3620"/>
    <w:rsid w:val="00CF3986"/>
    <w:rsid w:val="00CF3EF1"/>
    <w:rsid w:val="00D00510"/>
    <w:rsid w:val="00D00CAF"/>
    <w:rsid w:val="00D00D5A"/>
    <w:rsid w:val="00D03F54"/>
    <w:rsid w:val="00D06342"/>
    <w:rsid w:val="00D06968"/>
    <w:rsid w:val="00D116CC"/>
    <w:rsid w:val="00D135C2"/>
    <w:rsid w:val="00D14D43"/>
    <w:rsid w:val="00D14E0E"/>
    <w:rsid w:val="00D219ED"/>
    <w:rsid w:val="00D22A66"/>
    <w:rsid w:val="00D24509"/>
    <w:rsid w:val="00D25157"/>
    <w:rsid w:val="00D25F23"/>
    <w:rsid w:val="00D26083"/>
    <w:rsid w:val="00D26C24"/>
    <w:rsid w:val="00D304F5"/>
    <w:rsid w:val="00D30838"/>
    <w:rsid w:val="00D366B0"/>
    <w:rsid w:val="00D367AD"/>
    <w:rsid w:val="00D4275F"/>
    <w:rsid w:val="00D4338C"/>
    <w:rsid w:val="00D4480C"/>
    <w:rsid w:val="00D4527F"/>
    <w:rsid w:val="00D47C05"/>
    <w:rsid w:val="00D50971"/>
    <w:rsid w:val="00D55DBD"/>
    <w:rsid w:val="00D55E2B"/>
    <w:rsid w:val="00D57818"/>
    <w:rsid w:val="00D579A2"/>
    <w:rsid w:val="00D633AB"/>
    <w:rsid w:val="00D63ABC"/>
    <w:rsid w:val="00D64201"/>
    <w:rsid w:val="00D6494E"/>
    <w:rsid w:val="00D64A85"/>
    <w:rsid w:val="00D64D23"/>
    <w:rsid w:val="00D73D05"/>
    <w:rsid w:val="00D745F5"/>
    <w:rsid w:val="00D76529"/>
    <w:rsid w:val="00D7687E"/>
    <w:rsid w:val="00D774A5"/>
    <w:rsid w:val="00D80CD7"/>
    <w:rsid w:val="00D9102E"/>
    <w:rsid w:val="00D93CCE"/>
    <w:rsid w:val="00D95185"/>
    <w:rsid w:val="00D95D41"/>
    <w:rsid w:val="00DA076F"/>
    <w:rsid w:val="00DA0E6D"/>
    <w:rsid w:val="00DA3694"/>
    <w:rsid w:val="00DA517B"/>
    <w:rsid w:val="00DA53FB"/>
    <w:rsid w:val="00DB0755"/>
    <w:rsid w:val="00DB14F6"/>
    <w:rsid w:val="00DB39EE"/>
    <w:rsid w:val="00DB3CD9"/>
    <w:rsid w:val="00DB4954"/>
    <w:rsid w:val="00DB5C15"/>
    <w:rsid w:val="00DB6351"/>
    <w:rsid w:val="00DC0DD2"/>
    <w:rsid w:val="00DC250F"/>
    <w:rsid w:val="00DC2A92"/>
    <w:rsid w:val="00DC386D"/>
    <w:rsid w:val="00DC537B"/>
    <w:rsid w:val="00DC772A"/>
    <w:rsid w:val="00DD040E"/>
    <w:rsid w:val="00DD085E"/>
    <w:rsid w:val="00DD183A"/>
    <w:rsid w:val="00DD18A1"/>
    <w:rsid w:val="00DD2496"/>
    <w:rsid w:val="00DD35CF"/>
    <w:rsid w:val="00DD4DE9"/>
    <w:rsid w:val="00DD521F"/>
    <w:rsid w:val="00DD6486"/>
    <w:rsid w:val="00DD6695"/>
    <w:rsid w:val="00DD7500"/>
    <w:rsid w:val="00DE0E28"/>
    <w:rsid w:val="00DE2A49"/>
    <w:rsid w:val="00DE2B6B"/>
    <w:rsid w:val="00DE7409"/>
    <w:rsid w:val="00DF1B62"/>
    <w:rsid w:val="00DF36B8"/>
    <w:rsid w:val="00DF3CA8"/>
    <w:rsid w:val="00DF5A9F"/>
    <w:rsid w:val="00DF6852"/>
    <w:rsid w:val="00DF7E05"/>
    <w:rsid w:val="00E033D9"/>
    <w:rsid w:val="00E03D4A"/>
    <w:rsid w:val="00E0679D"/>
    <w:rsid w:val="00E07491"/>
    <w:rsid w:val="00E07C5C"/>
    <w:rsid w:val="00E07FC5"/>
    <w:rsid w:val="00E105C5"/>
    <w:rsid w:val="00E13844"/>
    <w:rsid w:val="00E13C2E"/>
    <w:rsid w:val="00E1554B"/>
    <w:rsid w:val="00E15998"/>
    <w:rsid w:val="00E22B6B"/>
    <w:rsid w:val="00E24D32"/>
    <w:rsid w:val="00E24D7A"/>
    <w:rsid w:val="00E24E76"/>
    <w:rsid w:val="00E3098E"/>
    <w:rsid w:val="00E30AD0"/>
    <w:rsid w:val="00E321FE"/>
    <w:rsid w:val="00E331D6"/>
    <w:rsid w:val="00E36847"/>
    <w:rsid w:val="00E36F3B"/>
    <w:rsid w:val="00E411E7"/>
    <w:rsid w:val="00E46CFA"/>
    <w:rsid w:val="00E50892"/>
    <w:rsid w:val="00E51E2D"/>
    <w:rsid w:val="00E520FC"/>
    <w:rsid w:val="00E53466"/>
    <w:rsid w:val="00E545F9"/>
    <w:rsid w:val="00E55313"/>
    <w:rsid w:val="00E56CC7"/>
    <w:rsid w:val="00E636D0"/>
    <w:rsid w:val="00E63A54"/>
    <w:rsid w:val="00E67575"/>
    <w:rsid w:val="00E72E75"/>
    <w:rsid w:val="00E7315A"/>
    <w:rsid w:val="00E754CD"/>
    <w:rsid w:val="00E75504"/>
    <w:rsid w:val="00E769C3"/>
    <w:rsid w:val="00E8038A"/>
    <w:rsid w:val="00E80677"/>
    <w:rsid w:val="00E82FE3"/>
    <w:rsid w:val="00E846A3"/>
    <w:rsid w:val="00E858FC"/>
    <w:rsid w:val="00E87454"/>
    <w:rsid w:val="00E91751"/>
    <w:rsid w:val="00E927BB"/>
    <w:rsid w:val="00E96DBA"/>
    <w:rsid w:val="00EA0522"/>
    <w:rsid w:val="00EA07E3"/>
    <w:rsid w:val="00EA0B18"/>
    <w:rsid w:val="00EA16A7"/>
    <w:rsid w:val="00EA1EA8"/>
    <w:rsid w:val="00EA325E"/>
    <w:rsid w:val="00EA491E"/>
    <w:rsid w:val="00EB215A"/>
    <w:rsid w:val="00EB3242"/>
    <w:rsid w:val="00EB48E2"/>
    <w:rsid w:val="00EB5840"/>
    <w:rsid w:val="00EB5DDC"/>
    <w:rsid w:val="00EC14E3"/>
    <w:rsid w:val="00EC32AA"/>
    <w:rsid w:val="00EC687A"/>
    <w:rsid w:val="00EC7BAD"/>
    <w:rsid w:val="00ED11AE"/>
    <w:rsid w:val="00ED15D8"/>
    <w:rsid w:val="00ED5856"/>
    <w:rsid w:val="00ED72E9"/>
    <w:rsid w:val="00ED7366"/>
    <w:rsid w:val="00ED7B67"/>
    <w:rsid w:val="00EE017F"/>
    <w:rsid w:val="00EE4CD0"/>
    <w:rsid w:val="00EE502C"/>
    <w:rsid w:val="00EE5DD6"/>
    <w:rsid w:val="00EE5F8E"/>
    <w:rsid w:val="00EE75C4"/>
    <w:rsid w:val="00EE7F66"/>
    <w:rsid w:val="00EF0CAA"/>
    <w:rsid w:val="00EF4FD9"/>
    <w:rsid w:val="00EF5EB3"/>
    <w:rsid w:val="00EF6273"/>
    <w:rsid w:val="00EF62EB"/>
    <w:rsid w:val="00F00BBF"/>
    <w:rsid w:val="00F01996"/>
    <w:rsid w:val="00F03CB9"/>
    <w:rsid w:val="00F04B06"/>
    <w:rsid w:val="00F06DFA"/>
    <w:rsid w:val="00F07DCF"/>
    <w:rsid w:val="00F11576"/>
    <w:rsid w:val="00F14AF6"/>
    <w:rsid w:val="00F14B93"/>
    <w:rsid w:val="00F16A49"/>
    <w:rsid w:val="00F1749C"/>
    <w:rsid w:val="00F17687"/>
    <w:rsid w:val="00F17CA6"/>
    <w:rsid w:val="00F22CDC"/>
    <w:rsid w:val="00F23805"/>
    <w:rsid w:val="00F25795"/>
    <w:rsid w:val="00F272D7"/>
    <w:rsid w:val="00F302E7"/>
    <w:rsid w:val="00F30545"/>
    <w:rsid w:val="00F314EA"/>
    <w:rsid w:val="00F3427B"/>
    <w:rsid w:val="00F34D2A"/>
    <w:rsid w:val="00F352FD"/>
    <w:rsid w:val="00F43B3E"/>
    <w:rsid w:val="00F441C6"/>
    <w:rsid w:val="00F4452D"/>
    <w:rsid w:val="00F44E37"/>
    <w:rsid w:val="00F4798D"/>
    <w:rsid w:val="00F47DAF"/>
    <w:rsid w:val="00F50153"/>
    <w:rsid w:val="00F5037A"/>
    <w:rsid w:val="00F51F4B"/>
    <w:rsid w:val="00F53B2E"/>
    <w:rsid w:val="00F5409C"/>
    <w:rsid w:val="00F54FA8"/>
    <w:rsid w:val="00F5535C"/>
    <w:rsid w:val="00F61DCA"/>
    <w:rsid w:val="00F64B1B"/>
    <w:rsid w:val="00F650D4"/>
    <w:rsid w:val="00F651CE"/>
    <w:rsid w:val="00F66F13"/>
    <w:rsid w:val="00F70352"/>
    <w:rsid w:val="00F72D66"/>
    <w:rsid w:val="00F73269"/>
    <w:rsid w:val="00F734CB"/>
    <w:rsid w:val="00F744B6"/>
    <w:rsid w:val="00F77A79"/>
    <w:rsid w:val="00F77B68"/>
    <w:rsid w:val="00F80887"/>
    <w:rsid w:val="00F81A65"/>
    <w:rsid w:val="00F826B5"/>
    <w:rsid w:val="00F83D33"/>
    <w:rsid w:val="00F83D4D"/>
    <w:rsid w:val="00F83E34"/>
    <w:rsid w:val="00F84C85"/>
    <w:rsid w:val="00F85CD3"/>
    <w:rsid w:val="00F85CF1"/>
    <w:rsid w:val="00F901D8"/>
    <w:rsid w:val="00F9232F"/>
    <w:rsid w:val="00F92A13"/>
    <w:rsid w:val="00F92D3B"/>
    <w:rsid w:val="00F94756"/>
    <w:rsid w:val="00F9491C"/>
    <w:rsid w:val="00F9716A"/>
    <w:rsid w:val="00FA0BCE"/>
    <w:rsid w:val="00FA1945"/>
    <w:rsid w:val="00FA32D8"/>
    <w:rsid w:val="00FA40AF"/>
    <w:rsid w:val="00FA41C2"/>
    <w:rsid w:val="00FA5BED"/>
    <w:rsid w:val="00FA6520"/>
    <w:rsid w:val="00FA6FFF"/>
    <w:rsid w:val="00FA7296"/>
    <w:rsid w:val="00FB02A2"/>
    <w:rsid w:val="00FB107B"/>
    <w:rsid w:val="00FB2DCC"/>
    <w:rsid w:val="00FB2E1B"/>
    <w:rsid w:val="00FB3449"/>
    <w:rsid w:val="00FB3A4B"/>
    <w:rsid w:val="00FB5BD7"/>
    <w:rsid w:val="00FB6445"/>
    <w:rsid w:val="00FB6A0D"/>
    <w:rsid w:val="00FC148E"/>
    <w:rsid w:val="00FC24DC"/>
    <w:rsid w:val="00FC7F8E"/>
    <w:rsid w:val="00FD212F"/>
    <w:rsid w:val="00FD6495"/>
    <w:rsid w:val="00FE56CE"/>
    <w:rsid w:val="00FF119E"/>
    <w:rsid w:val="00FF29E7"/>
    <w:rsid w:val="00FF4069"/>
    <w:rsid w:val="00FF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26BE"/>
  <w15:chartTrackingRefBased/>
  <w15:docId w15:val="{B9DF2D1F-6474-4823-AE4D-A7201668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E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riefing">
    <w:name w:val="Briefing"/>
    <w:uiPriority w:val="99"/>
    <w:rsid w:val="006E12DC"/>
    <w:pPr>
      <w:numPr>
        <w:numId w:val="1"/>
      </w:numPr>
    </w:pPr>
  </w:style>
  <w:style w:type="character" w:styleId="Hyperlink">
    <w:name w:val="Hyperlink"/>
    <w:basedOn w:val="DefaultParagraphFont"/>
    <w:uiPriority w:val="99"/>
    <w:unhideWhenUsed/>
    <w:rsid w:val="00EF6273"/>
    <w:rPr>
      <w:color w:val="0563C1" w:themeColor="hyperlink"/>
      <w:u w:val="single"/>
    </w:rPr>
  </w:style>
  <w:style w:type="character" w:customStyle="1" w:styleId="UnresolvedMention1">
    <w:name w:val="Unresolved Mention1"/>
    <w:basedOn w:val="DefaultParagraphFont"/>
    <w:uiPriority w:val="99"/>
    <w:semiHidden/>
    <w:unhideWhenUsed/>
    <w:rsid w:val="00EF6273"/>
    <w:rPr>
      <w:color w:val="605E5C"/>
      <w:shd w:val="clear" w:color="auto" w:fill="E1DFDD"/>
    </w:rPr>
  </w:style>
  <w:style w:type="paragraph" w:styleId="EndnoteText">
    <w:name w:val="endnote text"/>
    <w:basedOn w:val="Normal"/>
    <w:link w:val="EndnoteTextChar"/>
    <w:uiPriority w:val="99"/>
    <w:semiHidden/>
    <w:unhideWhenUsed/>
    <w:rsid w:val="001006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6E3"/>
    <w:rPr>
      <w:sz w:val="20"/>
      <w:szCs w:val="20"/>
    </w:rPr>
  </w:style>
  <w:style w:type="character" w:styleId="EndnoteReference">
    <w:name w:val="endnote reference"/>
    <w:basedOn w:val="DefaultParagraphFont"/>
    <w:uiPriority w:val="99"/>
    <w:semiHidden/>
    <w:unhideWhenUsed/>
    <w:rsid w:val="001006E3"/>
    <w:rPr>
      <w:vertAlign w:val="superscript"/>
    </w:rPr>
  </w:style>
  <w:style w:type="paragraph" w:styleId="ListParagraph">
    <w:name w:val="List Paragraph"/>
    <w:basedOn w:val="Normal"/>
    <w:uiPriority w:val="34"/>
    <w:qFormat/>
    <w:rsid w:val="008B2574"/>
    <w:pPr>
      <w:ind w:left="720"/>
      <w:contextualSpacing/>
    </w:pPr>
  </w:style>
  <w:style w:type="character" w:styleId="CommentReference">
    <w:name w:val="annotation reference"/>
    <w:basedOn w:val="DefaultParagraphFont"/>
    <w:uiPriority w:val="99"/>
    <w:semiHidden/>
    <w:unhideWhenUsed/>
    <w:rsid w:val="00D4480C"/>
    <w:rPr>
      <w:sz w:val="16"/>
      <w:szCs w:val="16"/>
    </w:rPr>
  </w:style>
  <w:style w:type="paragraph" w:styleId="CommentText">
    <w:name w:val="annotation text"/>
    <w:basedOn w:val="Normal"/>
    <w:link w:val="CommentTextChar"/>
    <w:uiPriority w:val="99"/>
    <w:semiHidden/>
    <w:unhideWhenUsed/>
    <w:rsid w:val="00D4480C"/>
    <w:pPr>
      <w:spacing w:line="240" w:lineRule="auto"/>
    </w:pPr>
    <w:rPr>
      <w:sz w:val="20"/>
      <w:szCs w:val="20"/>
    </w:rPr>
  </w:style>
  <w:style w:type="character" w:customStyle="1" w:styleId="CommentTextChar">
    <w:name w:val="Comment Text Char"/>
    <w:basedOn w:val="DefaultParagraphFont"/>
    <w:link w:val="CommentText"/>
    <w:uiPriority w:val="99"/>
    <w:semiHidden/>
    <w:rsid w:val="00D4480C"/>
    <w:rPr>
      <w:sz w:val="20"/>
      <w:szCs w:val="20"/>
    </w:rPr>
  </w:style>
  <w:style w:type="paragraph" w:styleId="CommentSubject">
    <w:name w:val="annotation subject"/>
    <w:basedOn w:val="CommentText"/>
    <w:next w:val="CommentText"/>
    <w:link w:val="CommentSubjectChar"/>
    <w:uiPriority w:val="99"/>
    <w:semiHidden/>
    <w:unhideWhenUsed/>
    <w:rsid w:val="00D4480C"/>
    <w:rPr>
      <w:b/>
      <w:bCs/>
    </w:rPr>
  </w:style>
  <w:style w:type="character" w:customStyle="1" w:styleId="CommentSubjectChar">
    <w:name w:val="Comment Subject Char"/>
    <w:basedOn w:val="CommentTextChar"/>
    <w:link w:val="CommentSubject"/>
    <w:uiPriority w:val="99"/>
    <w:semiHidden/>
    <w:rsid w:val="00D4480C"/>
    <w:rPr>
      <w:b/>
      <w:bCs/>
      <w:sz w:val="20"/>
      <w:szCs w:val="20"/>
    </w:rPr>
  </w:style>
  <w:style w:type="character" w:customStyle="1" w:styleId="Heading1Char">
    <w:name w:val="Heading 1 Char"/>
    <w:basedOn w:val="DefaultParagraphFont"/>
    <w:link w:val="Heading1"/>
    <w:uiPriority w:val="9"/>
    <w:rsid w:val="00CA3E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92A13"/>
    <w:pPr>
      <w:outlineLvl w:val="9"/>
    </w:pPr>
  </w:style>
  <w:style w:type="paragraph" w:styleId="Header">
    <w:name w:val="header"/>
    <w:basedOn w:val="Normal"/>
    <w:link w:val="HeaderChar"/>
    <w:uiPriority w:val="99"/>
    <w:unhideWhenUsed/>
    <w:rsid w:val="006F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EA"/>
  </w:style>
  <w:style w:type="paragraph" w:styleId="Footer">
    <w:name w:val="footer"/>
    <w:basedOn w:val="Normal"/>
    <w:link w:val="FooterChar"/>
    <w:uiPriority w:val="99"/>
    <w:unhideWhenUsed/>
    <w:rsid w:val="006F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4791">
      <w:bodyDiv w:val="1"/>
      <w:marLeft w:val="0"/>
      <w:marRight w:val="0"/>
      <w:marTop w:val="0"/>
      <w:marBottom w:val="0"/>
      <w:divBdr>
        <w:top w:val="none" w:sz="0" w:space="0" w:color="auto"/>
        <w:left w:val="none" w:sz="0" w:space="0" w:color="auto"/>
        <w:bottom w:val="none" w:sz="0" w:space="0" w:color="auto"/>
        <w:right w:val="none" w:sz="0" w:space="0" w:color="auto"/>
      </w:divBdr>
    </w:div>
    <w:div w:id="616447776">
      <w:bodyDiv w:val="1"/>
      <w:marLeft w:val="0"/>
      <w:marRight w:val="0"/>
      <w:marTop w:val="0"/>
      <w:marBottom w:val="0"/>
      <w:divBdr>
        <w:top w:val="none" w:sz="0" w:space="0" w:color="auto"/>
        <w:left w:val="none" w:sz="0" w:space="0" w:color="auto"/>
        <w:bottom w:val="none" w:sz="0" w:space="0" w:color="auto"/>
        <w:right w:val="none" w:sz="0" w:space="0" w:color="auto"/>
      </w:divBdr>
    </w:div>
    <w:div w:id="627930720">
      <w:bodyDiv w:val="1"/>
      <w:marLeft w:val="0"/>
      <w:marRight w:val="0"/>
      <w:marTop w:val="0"/>
      <w:marBottom w:val="0"/>
      <w:divBdr>
        <w:top w:val="none" w:sz="0" w:space="0" w:color="auto"/>
        <w:left w:val="none" w:sz="0" w:space="0" w:color="auto"/>
        <w:bottom w:val="none" w:sz="0" w:space="0" w:color="auto"/>
        <w:right w:val="none" w:sz="0" w:space="0" w:color="auto"/>
      </w:divBdr>
      <w:divsChild>
        <w:div w:id="1578247025">
          <w:marLeft w:val="0"/>
          <w:marRight w:val="0"/>
          <w:marTop w:val="0"/>
          <w:marBottom w:val="0"/>
          <w:divBdr>
            <w:top w:val="none" w:sz="0" w:space="0" w:color="auto"/>
            <w:left w:val="none" w:sz="0" w:space="0" w:color="auto"/>
            <w:bottom w:val="none" w:sz="0" w:space="0" w:color="auto"/>
            <w:right w:val="none" w:sz="0" w:space="0" w:color="auto"/>
          </w:divBdr>
        </w:div>
      </w:divsChild>
    </w:div>
    <w:div w:id="792790969">
      <w:bodyDiv w:val="1"/>
      <w:marLeft w:val="0"/>
      <w:marRight w:val="0"/>
      <w:marTop w:val="0"/>
      <w:marBottom w:val="0"/>
      <w:divBdr>
        <w:top w:val="none" w:sz="0" w:space="0" w:color="auto"/>
        <w:left w:val="none" w:sz="0" w:space="0" w:color="auto"/>
        <w:bottom w:val="none" w:sz="0" w:space="0" w:color="auto"/>
        <w:right w:val="none" w:sz="0" w:space="0" w:color="auto"/>
      </w:divBdr>
      <w:divsChild>
        <w:div w:id="454569778">
          <w:marLeft w:val="0"/>
          <w:marRight w:val="0"/>
          <w:marTop w:val="0"/>
          <w:marBottom w:val="0"/>
          <w:divBdr>
            <w:top w:val="none" w:sz="0" w:space="0" w:color="auto"/>
            <w:left w:val="none" w:sz="0" w:space="0" w:color="auto"/>
            <w:bottom w:val="none" w:sz="0" w:space="0" w:color="auto"/>
            <w:right w:val="none" w:sz="0" w:space="0" w:color="auto"/>
          </w:divBdr>
        </w:div>
      </w:divsChild>
    </w:div>
    <w:div w:id="1384907911">
      <w:bodyDiv w:val="1"/>
      <w:marLeft w:val="0"/>
      <w:marRight w:val="0"/>
      <w:marTop w:val="0"/>
      <w:marBottom w:val="0"/>
      <w:divBdr>
        <w:top w:val="none" w:sz="0" w:space="0" w:color="auto"/>
        <w:left w:val="none" w:sz="0" w:space="0" w:color="auto"/>
        <w:bottom w:val="none" w:sz="0" w:space="0" w:color="auto"/>
        <w:right w:val="none" w:sz="0" w:space="0" w:color="auto"/>
      </w:divBdr>
      <w:divsChild>
        <w:div w:id="163090">
          <w:marLeft w:val="0"/>
          <w:marRight w:val="0"/>
          <w:marTop w:val="0"/>
          <w:marBottom w:val="0"/>
          <w:divBdr>
            <w:top w:val="none" w:sz="0" w:space="0" w:color="auto"/>
            <w:left w:val="none" w:sz="0" w:space="0" w:color="auto"/>
            <w:bottom w:val="none" w:sz="0" w:space="0" w:color="auto"/>
            <w:right w:val="none" w:sz="0" w:space="0" w:color="auto"/>
          </w:divBdr>
        </w:div>
      </w:divsChild>
    </w:div>
    <w:div w:id="17112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2-16T18:36:51.005"/>
    </inkml:context>
    <inkml:brush xml:id="br0">
      <inkml:brushProperty name="width" value="0.02507" units="cm"/>
      <inkml:brushProperty name="height" value="0.02507" units="cm"/>
    </inkml:brush>
  </inkml:definitions>
  <inkml:trace contextRef="#ctx0" brushRef="#br0">132 6631 9240 0 0,'1'-8'23'0'0,"-1"5"74"0"0,1 0 0 0 0,-1 0 1 0 0,1 1-1 0 0,0-1 0 0 0,-1 0 0 0 0,4-5 1 0 0,-4 6 80 0 0,1 0 0 0 0,0 0 0 0 0,-1 0 0 0 0,0 0 0 0 0,1 0 0 0 0,-1 0 0 0 0,0 0 0 0 0,0 0 0 0 0,0 0 0 0 0,0 0 0 0 0,0 0 0 0 0,-2-3 0 0 0,2 4-131 0 0,0 1-1 0 0,0 0 0 0 0,0-1 0 0 0,0 1 1 0 0,-1 0-1 0 0,1 0 0 0 0,0-1 0 0 0,0 1 1 0 0,0 0-1 0 0,0-1 0 0 0,0 1 0 0 0,0 0 1 0 0,0 0-1 0 0,0-1 0 0 0,0 1 0 0 0,0 0 1 0 0,0-1-1 0 0,0 1 0 0 0,0 0 0 0 0,0-1 1 0 0,0 1-1 0 0,0 0 0 0 0,0-1 0 0 0,0 1 1 0 0,1 0-1 0 0,-1 0 0 0 0,0-1 0 0 0,0 1 1 0 0,3-8 1147 0 0,-4 5-888 0 0,1 0 1 0 0,0 0-1 0 0,-1 0 0 0 0,-1-5 1 0 0,-1-5-58 0 0,0-17-41 0 0,-7-67-8 0 0,-7-176 128 0 0,9 118-165 0 0,-3-59 48 0 0,-5-84 17 0 0,-6 2-33 0 0,-10-131 23 0 0,15 1-54 0 0,44-422 57 0 0,68-3-83 0 0,40 113-88 0 0,1 137-54 0 0,-92 409-5 0 0,2 18-39 0 0,-9 38 1 0 0,-21 76 26 0 0,82-300-198 0 0,-32 135-69 0 0,-37 127-2098 0 0,-23 78-8971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2-16T18:38:26.885"/>
    </inkml:context>
    <inkml:brush xml:id="br0">
      <inkml:brushProperty name="width" value="0.025" units="cm"/>
      <inkml:brushProperty name="height" value="0.025" units="cm"/>
    </inkml:brush>
  </inkml:definitions>
  <inkml:trace contextRef="#ctx0" brushRef="#br0">66 1467 792 0 0,'1'-8'2'0'0,"-1"-1"1"0"0,0 1-1 0 0,-2-17 0 0 0,2 21 1 0 0,-1 1-1 0 0,1-1 0 0 0,0 1 0 0 0,0-1 1 0 0,1 1-1 0 0,-1-1 0 0 0,1 1 0 0 0,1-5 1 0 0,-1 4-3 0 0,0 0 1 0 0,0-1-1 0 0,0-7 1 0 0,-3-43 6 0 0,2 48-7 0 0,-1-1 1 0 0,0 1-1 0 0,-2-10 0 0 0,1 9-2 0 0,1 1 0 0 0,-1-13-1 0 0,2 9 4 0 0,-4-92-36 0 0,4 40 45 0 0,0 56-2 0 0,0 1-1 0 0,1-11 1 0 0,0 11 2 0 0,-1 0 1 0 0,0 0-1 0 0,0-6 0 0 0,-1 10-4 0 0,0-8 21 0 0,0 0 0 0 0,1 0 0 0 0,0 0 0 0 0,1-18 1 0 0,5-50 336 0 0,-4 35-6 0 0,-2 31-79 0 0,-2-22 1 0 0,0 20-96 0 0,2 13-153 0 0,0-1 0 0 0,0 0 0 0 0,0 0 0 0 0,0 0 0 0 0,1 1 0 0 0,0-4 0 0 0,1-10 209 0 0,-2 9-183 0 0,0 0 1 0 0,0 0-1 0 0,-1 0 0 0 0,-3-10 0 0 0,-1-17 191 0 0,4 23-191 0 0,0-2 84 0 0,-4-18-1 0 0,4 23-87 0 0,0 0 0 0 0,0 0 1 0 0,1-1-1 0 0,0-7 0 0 0,0-14 188 0 0,-8 4 11 0 0,-2-33-52 0 0,8 42-153 0 0,2 14-40 0 0,0 0 1 0 0,0 0-1 0 0,-1 0 1 0 0,1 1-1 0 0,0-1 0 0 0,-1 0 1 0 0,1 0-1 0 0,-1 0 1 0 0,0 1-1 0 0,0-1 0 0 0,0-2 1 0 0,1 3-1 0 0,-1-1 1 0 0,1 1-1 0 0,-1-1 1 0 0,1 0-1 0 0,0 1 0 0 0,0-1 1 0 0,0 1-1 0 0,0-1 1 0 0,0 0-1 0 0,0 1 1 0 0,0-4-1 0 0,1-1 15 0 0,-2-4 0 0 0,0 0 1 0 0,0 1 0 0 0,-4-13 0 0 0,-2-14 8 0 0,7 32-26 0 0,0 1 0 0 0,0 0 0 0 0,1-7 0 0 0,-1 8-4 0 0,1 0 0 0 0,-1-1 0 0 0,0 1 1 0 0,0 0-1 0 0,0 0 0 0 0,0 0 0 0 0,0 0 0 0 0,-1 0 0 0 0,1 0 0 0 0,-1-3 0 0 0,0 4 0 0 0,1 1-1 0 0,0-1 1 0 0,0 0 0 0 0,0 0-1 0 0,0 0 1 0 0,0 0 0 0 0,0 0-1 0 0,0 0 1 0 0,0 0 0 0 0,0 1-1 0 0,0-1 1 0 0,0 0 0 0 0,0 0-1 0 0,0 0 1 0 0,1 0 0 0 0,-1 0-1 0 0,0 1 1 0 0,1-1 0 0 0,0-1-1 0 0,-1 1 1 0 0,1 0 0 0 0,0 0-1 0 0,-1 0 1 0 0,0-1 0 0 0,1 1-1 0 0,-1 0 1 0 0,0 0 0 0 0,0 0-1 0 0,1-1 1 0 0,-1 1 0 0 0,0-2 0 0 0,-1-4 0 0 0,0 4-1 0 0,1 0 0 0 0,0 0 0 0 0,0 0 0 0 0,0 0 0 0 0,0-4 0 0 0,2-9-2 0 0,-1 0 0 0 0,-1-28 0 0 0,-1 12 0 0 0,1 24 25 0 0,0 0-218 0 0,0-1 1 0 0,0 1 0 0 0,-3-15-1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2-16T18:41:21.474"/>
    </inkml:context>
    <inkml:brush xml:id="br0">
      <inkml:brushProperty name="width" value="0.025" units="cm"/>
      <inkml:brushProperty name="height" value="0.025" units="cm"/>
    </inkml:brush>
  </inkml:definitions>
  <inkml:trace contextRef="#ctx0" brushRef="#br0">1706 1094 1200 0 0,'-10'7'0'0'0,"7"-4"-3"0"0,0 0-1 0 0,0 0 0 0 0,0 0 0 0 0,-1-1 0 0 0,1 0 0 0 0,-1 0 0 0 0,0 0 0 0 0,0 0 0 0 0,-6 2 0 0 0,-9 3-1 0 0,5-1 24 0 0,1-1 469 0 0,-21 11 1 0 0,5-2 207 0 0,15-8-307 0 0,7-3-78 0 0,0 0 0 0 0,0 0 0 0 0,0-1 0 0 0,-13 3 0 0 0,-31 6 857 0 0,40-8-954 0 0,6-2-110 0 0,1-1 0 0 0,-1 1 0 0 0,1-1 0 0 0,0 0 0 0 0,-1 0 0 0 0,-4-1 0 0 0,-11-1 504 0 0,17 2-485 0 0,0 0 1 0 0,-1-1-1 0 0,1 0 0 0 0,0 0 0 0 0,0 0 0 0 0,-6-2 0 0 0,2 0 183 0 0,6 2-250 0 0,0 1 0 0 0,0-1 0 0 0,0 0 0 0 0,0 1 0 0 0,0-1 0 0 0,0 0 0 0 0,0 0 0 0 0,0 0 0 0 0,0 0 0 0 0,0-1 0 0 0,0 1-10 0 0,0 0 0 0 0,0 0 0 0 0,0 0 0 0 0,0 0 0 0 0,0 0 0 0 0,0 0 0 0 0,-2-1 0 0 0,-26-13 998 0 0,28 15-979 0 0,1-1-1 0 0,-1 0 0 0 0,0 1 0 0 0,0-1 1 0 0,1 0-1 0 0,-1 0 0 0 0,0 0 1 0 0,-1-1-1 0 0,2 1-18 0 0,-1 0 0 0 0,0 0 0 0 0,1 0 1 0 0,-1 0-1 0 0,0 0 0 0 0,0 1 0 0 0,0-1 0 0 0,0 0 1 0 0,1 1-1 0 0,-3-2 0 0 0,-9-2 297 0 0,-12-7 242 0 0,18 8-485 0 0,0 0 0 0 0,1 0 0 0 0,0-1-1 0 0,-1 0 1 0 0,1 0 0 0 0,0-1 0 0 0,1 1 0 0 0,-1-1 0 0 0,1 0 0 0 0,0 0 0 0 0,-6-9 0 0 0,-22-43 764 0 0,7 21-352 0 0,25 34-488 0 0,-1 1 0 0 0,0 0 0 0 0,0 0 0 0 0,0 0 1 0 0,0-1-1 0 0,-1 1 0 0 0,-1-1 0 0 0,-6-6 215 0 0,-1-2 31 0 0,0 3-118 0 0,-7-9 40 0 0,14 14-154 0 0,-1-1-1 0 0,1 0 1 0 0,0-1-1 0 0,0 1 1 0 0,-5-7-1 0 0,-1-4 19 0 0,6 9-30 0 0,-1-1 0 0 0,1 1 0 0 0,-3-9 0 0 0,5 14-25 0 0,1-1-1 0 0,0 0 1 0 0,-1 1-1 0 0,1-1 0 0 0,-1 0 1 0 0,1 1-1 0 0,-1-1 0 0 0,0 1 1 0 0,1-1-1 0 0,-1 1 0 0 0,0-1 1 0 0,-1 0-1 0 0,-6-6 3 0 0,6 4-3 0 0,0 1 0 0 0,0-1 0 0 0,0 1 0 0 0,-1 0 0 0 0,1 0 0 0 0,-1 0 0 0 0,0 0 0 0 0,-3-2 0 0 0,-11-4-1 0 0,12 6 0 0 0,1 0 0 0 0,0 0 0 0 0,0 0 0 0 0,0 0 0 0 0,0 0 0 0 0,0-1 0 0 0,-6-5 0 0 0,9 7 0 0 0,0-1 0 0 0,-1 1 1 0 0,1 0-1 0 0,-1 0 0 0 0,1 0 0 0 0,-1 0 0 0 0,-1-1 0 0 0,1 2 1 0 0,1-1 0 0 0,0 1 0 0 0,0-1 0 0 0,-1 0 0 0 0,1 0 0 0 0,0 0 0 0 0,0 0-1 0 0,0 0 1 0 0,0 0 0 0 0,-2-2 0 0 0,-13-15-4 0 0,12 14 3 0 0,1 1 1 0 0,0-1-1 0 0,-4-6 0 0 0,6 10 1 0 0,0-1 0 0 0,1 0 0 0 0,-1 0 0 0 0,0 0 0 0 0,0 1 0 0 0,1-1 0 0 0,-1 0 0 0 0,0 1 0 0 0,0-1 0 0 0,-1 0 0 0 0,-5-3 2 0 0,-5-8 9 0 0,5 5 4 0 0,-1 0 0 0 0,0 1 0 0 0,-10-8-1 0 0,0 0 24 0 0,16 13-35 0 0,1-1 1 0 0,-1 0-1 0 0,0 1 1 0 0,0-1-1 0 0,-1 1 1 0 0,1 0 0 0 0,0-1-1 0 0,0 1 1 0 0,-1 0-1 0 0,1 0 1 0 0,-5-1-1 0 0,4 2 3 0 0,0-1-1 0 0,0 0 0 0 0,0-1 0 0 0,0 1 0 0 0,0 0 0 0 0,-4-4 0 0 0,-12-5 6 0 0,16 9-10 0 0,0-1-1 0 0,-1 1 1 0 0,1-1 0 0 0,0 0-1 0 0,-5-5 1 0 0,7 7-2 0 0,0 0 1 0 0,0-1 0 0 0,0 1-1 0 0,0-1 1 0 0,0 1 0 0 0,0-1 0 0 0,0 1 0 0 0,0 0 0 0 0,0 0 0 0 0,-1-1 0 0 0,2 1-1 0 0,-1 0 1 0 0,1 0 0 0 0,-1 0-1 0 0,0 0 1 0 0,1 0-1 0 0,-1 0 1 0 0,1-1 0 0 0,-1 1-1 0 0,1 0 1 0 0,-1 0 0 0 0,1-1-1 0 0,-1 1 1 0 0,1 0 0 0 0,-1-1-1 0 0,1 1 1 0 0,-1 0-1 0 0,1-1 1 0 0,-1 1 0 0 0,1 0-1 0 0,0-1 1 0 0,-1 1 0 0 0,1-1-1 0 0,0 1 1 0 0,-1-1 0 0 0,1 0-1 0 0,-2-3-7 0 0,-1 0 1 0 0,1 0-1 0 0,-1 0 0 0 0,0 0 0 0 0,0 1 0 0 0,0-1 1 0 0,0 1-1 0 0,0 0 0 0 0,-1 0 0 0 0,0 0 0 0 0,1 0 1 0 0,-9-3-1 0 0,-10-5-12 0 0,-11-6-11 0 0,27 13 21 0 0,0 0 6 0 0,0 0-1 0 0,0 1 0 0 0,0 0 1 0 0,0 0-1 0 0,-7-1 1 0 0,4 1 1 0 0,1 0 0 0 0,-9-4-1 0 0,6-3 2 0 0,10 9 1 0 0,0 1 1 0 0,0-1 0 0 0,0 0-1 0 0,0 0 1 0 0,0 0 0 0 0,0 0-1 0 0,1 1 1 0 0,-1-1 0 0 0,0 1-1 0 0,0-1 1 0 0,0 1 0 0 0,0-1-1 0 0,0 1 1 0 0,0-1 0 0 0,-3 1-1 0 0,-1-1 0 0 0,-1 0 0 0 0,0-1-1 0 0,1 1 1 0 0,-1-1 0 0 0,1 0-1 0 0,-7-3 1 0 0,1-4-11 0 0,9 8 9 0 0,1-1 0 0 0,-1 0 0 0 0,-1 1 0 0 0,1-1 0 0 0,-3-1-1 0 0,-4-1 0 0 0,-1-1-1 0 0,1 0 0 0 0,0-1 0 0 0,0 0 1 0 0,1 0-1 0 0,-11-11 0 0 0,19 17 5 0 0,-4-3-1 0 0,0-1-1 0 0,1 1 1 0 0,-1-1-1 0 0,0 1 1 0 0,-1 1-1 0 0,1-1 1 0 0,0 0-1 0 0,-8-2 1 0 0,0 0-4 0 0,9 3 0 0 0,-1 1 1 0 0,1-1-1 0 0,0 1 1 0 0,-1 0-1 0 0,-4-1 1 0 0,-8-3-5 0 0,14 4 7 0 0,0 0 0 0 0,0 0-1 0 0,0 0 1 0 0,0 0-1 0 0,0 1 1 0 0,-3-1-1 0 0,-2 0-14 0 0,1-1-1 0 0,0 1 1 0 0,-1-1-1 0 0,1-1 0 0 0,-7-3 1 0 0,-2 0-14 0 0,11 5 25 0 0,1 0-1 0 0,-1-1 0 0 0,1 1 0 0 0,0-1 0 0 0,-1 0 1 0 0,1 0-1 0 0,-5-4 0 0 0,8 5 7 0 0,-1 1 0 0 0,0-1-1 0 0,1 1 1 0 0,-1-1 0 0 0,0 1 0 0 0,0 0 0 0 0,0-1 0 0 0,1 1 0 0 0,-1 0-1 0 0,0 0 1 0 0,-1-1 0 0 0,1 1 0 0 0,0 0 0 0 0,0 0 0 0 0,1-1 0 0 0,-1 1 0 0 0,0 0 0 0 0,0-1 0 0 0,0 1 0 0 0,0 0 0 0 0,1-1 0 0 0,-1 1 0 0 0,0-1 0 0 0,1 1 0 0 0,-2-2 1 0 0,-4-4-1 0 0,4 3 0 0 0,0 1 0 0 0,0-1 0 0 0,0 1 0 0 0,-2-5 0 0 0,-4-1 2 0 0,8 8-1 0 0,-1 0-1 0 0,0-1 0 0 0,1 1 0 0 0,-1-1 1 0 0,0 0-1 0 0,1 1 0 0 0,-1-1 1 0 0,1 1-1 0 0,-1-1 0 0 0,1 0 0 0 0,-1 1 1 0 0,1-1-1 0 0,0 0 0 0 0,-1 0 0 0 0,1 1 1 0 0,0-1-1 0 0,0 0 0 0 0,-1-1 1 0 0,1 1-3 0 0,0 1 0 0 0,0-1 1 0 0,0 0-1 0 0,-1 0 1 0 0,1 0-1 0 0,0 0 1 0 0,-1 0-1 0 0,1 0 0 0 0,-1 1 1 0 0,0-2-1 0 0,0 1 0 0 0,1 0-1 0 0,-1 0 0 0 0,1 0 0 0 0,-1 0 0 0 0,1 0 1 0 0,0 0-1 0 0,-1 0 0 0 0,1 0 0 0 0,0 0 0 0 0,-1-2 1 0 0,1-90-1642 0 0,0 30-2543 0 0,1 59 4092 0 0,-1-1 0 0 0,1 1 0 0 0,1-1 0 0 0,-1 1 0 0 0,0 0 0 0 0,4-7 1 0 0,0-3-1349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2C6C-A189-407B-9552-9436533D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Kennedy</dc:creator>
  <cp:keywords/>
  <dc:description/>
  <cp:lastModifiedBy>Sarah Lottman</cp:lastModifiedBy>
  <cp:revision>2</cp:revision>
  <dcterms:created xsi:type="dcterms:W3CDTF">2023-03-31T17:24:00Z</dcterms:created>
  <dcterms:modified xsi:type="dcterms:W3CDTF">2023-03-31T17:24:00Z</dcterms:modified>
</cp:coreProperties>
</file>